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19"/>
        <w:gridCol w:w="6880"/>
      </w:tblGrid>
      <w:tr w:rsidR="006B3BBD" w:rsidRPr="0067796E" w14:paraId="276C01B1" w14:textId="77777777" w:rsidTr="0067796E">
        <w:tc>
          <w:tcPr>
            <w:tcW w:w="3085"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7088"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67796E">
        <w:tc>
          <w:tcPr>
            <w:tcW w:w="3085"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7088"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67796E">
        <w:tc>
          <w:tcPr>
            <w:tcW w:w="3085"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7088"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67796E">
        <w:tc>
          <w:tcPr>
            <w:tcW w:w="3085" w:type="dxa"/>
          </w:tcPr>
          <w:p w14:paraId="5EB88A75" w14:textId="77777777" w:rsidR="006B3BBD" w:rsidRPr="0067796E" w:rsidRDefault="006B3BBD" w:rsidP="008D4D26">
            <w:pPr>
              <w:rPr>
                <w:rFonts w:asciiTheme="minorHAnsi" w:hAnsiTheme="minorHAnsi"/>
                <w:b/>
              </w:rPr>
            </w:pPr>
            <w:r w:rsidRPr="0067796E">
              <w:rPr>
                <w:rFonts w:asciiTheme="minorHAnsi" w:hAnsiTheme="minorHAnsi"/>
                <w:b/>
              </w:rPr>
              <w:t>Call Reference</w:t>
            </w:r>
          </w:p>
        </w:tc>
        <w:tc>
          <w:tcPr>
            <w:tcW w:w="7088" w:type="dxa"/>
          </w:tcPr>
          <w:p w14:paraId="68A495B9" w14:textId="7B4CBB4A" w:rsidR="006B3BBD" w:rsidRPr="00B746C1" w:rsidRDefault="00CB3F92" w:rsidP="008D4D26">
            <w:pPr>
              <w:rPr>
                <w:rFonts w:asciiTheme="minorHAnsi" w:hAnsiTheme="minorHAnsi"/>
              </w:rPr>
            </w:pPr>
            <w:r w:rsidRPr="00B746C1">
              <w:rPr>
                <w:rFonts w:asciiTheme="minorHAnsi" w:hAnsiTheme="minorHAnsi"/>
              </w:rPr>
              <w:t>Second Round</w:t>
            </w:r>
          </w:p>
          <w:p w14:paraId="0D10D7A4" w14:textId="77777777" w:rsidR="006B3BBD" w:rsidRPr="0067796E" w:rsidRDefault="006B3BBD" w:rsidP="008D4D26">
            <w:pPr>
              <w:rPr>
                <w:rFonts w:asciiTheme="minorHAnsi" w:hAnsiTheme="minorHAnsi"/>
              </w:rPr>
            </w:pPr>
          </w:p>
        </w:tc>
      </w:tr>
      <w:tr w:rsidR="006B3BBD" w:rsidRPr="0067796E" w14:paraId="7757BCC4" w14:textId="77777777" w:rsidTr="0067796E">
        <w:tc>
          <w:tcPr>
            <w:tcW w:w="3085" w:type="dxa"/>
          </w:tcPr>
          <w:p w14:paraId="1A79405D" w14:textId="787BE778" w:rsidR="006B3BBD" w:rsidRPr="0067796E" w:rsidRDefault="006B3BBD" w:rsidP="00474EA9">
            <w:pPr>
              <w:rPr>
                <w:rFonts w:asciiTheme="minorHAnsi" w:hAnsiTheme="minorHAnsi"/>
                <w:b/>
              </w:rPr>
            </w:pPr>
            <w:r w:rsidRPr="0067796E">
              <w:rPr>
                <w:rFonts w:asciiTheme="minorHAnsi" w:hAnsiTheme="minorHAnsi"/>
                <w:b/>
              </w:rPr>
              <w:t>CLLD Programme Fund Allocation</w:t>
            </w:r>
          </w:p>
        </w:tc>
        <w:tc>
          <w:tcPr>
            <w:tcW w:w="7088" w:type="dxa"/>
          </w:tcPr>
          <w:p w14:paraId="38A6F026" w14:textId="77777777" w:rsidR="006B3BBD" w:rsidRPr="0067796E" w:rsidRDefault="006B3BBD" w:rsidP="008D4D26">
            <w:pPr>
              <w:rPr>
                <w:rFonts w:asciiTheme="minorHAnsi" w:hAnsiTheme="minorHAnsi"/>
              </w:rPr>
            </w:pPr>
            <w:r w:rsidRPr="0067796E">
              <w:rPr>
                <w:rFonts w:asciiTheme="minorHAnsi" w:hAnsiTheme="minorHAnsi"/>
              </w:rPr>
              <w:t>ERDF £225,000</w:t>
            </w:r>
          </w:p>
        </w:tc>
      </w:tr>
      <w:tr w:rsidR="00B746C1" w:rsidRPr="00B746C1" w14:paraId="6C49CBC6" w14:textId="77777777" w:rsidTr="0067796E">
        <w:tc>
          <w:tcPr>
            <w:tcW w:w="3085" w:type="dxa"/>
          </w:tcPr>
          <w:p w14:paraId="7BF198AC" w14:textId="1D534F6D" w:rsidR="006B3BBD" w:rsidRPr="00B746C1" w:rsidRDefault="006B3BBD" w:rsidP="008D4D26">
            <w:pPr>
              <w:rPr>
                <w:rFonts w:asciiTheme="minorHAnsi" w:hAnsiTheme="minorHAnsi"/>
                <w:b/>
              </w:rPr>
            </w:pPr>
            <w:r w:rsidRPr="00B746C1">
              <w:rPr>
                <w:rFonts w:asciiTheme="minorHAnsi" w:hAnsiTheme="minorHAnsi"/>
                <w:b/>
              </w:rPr>
              <w:t>Call Opens</w:t>
            </w:r>
          </w:p>
        </w:tc>
        <w:tc>
          <w:tcPr>
            <w:tcW w:w="7088" w:type="dxa"/>
          </w:tcPr>
          <w:p w14:paraId="7E7AE6DB" w14:textId="05A613D3" w:rsidR="006B3BBD" w:rsidRPr="00B746C1" w:rsidRDefault="008304CE" w:rsidP="008D4D26">
            <w:pPr>
              <w:rPr>
                <w:rFonts w:asciiTheme="minorHAnsi" w:hAnsiTheme="minorHAnsi"/>
              </w:rPr>
            </w:pPr>
            <w:r w:rsidRPr="00B746C1">
              <w:rPr>
                <w:rFonts w:asciiTheme="minorHAnsi" w:hAnsiTheme="minorHAnsi"/>
              </w:rPr>
              <w:t>Thursday 20 September 2018</w:t>
            </w:r>
          </w:p>
          <w:p w14:paraId="4BF760CF" w14:textId="77777777" w:rsidR="006B3BBD" w:rsidRPr="00B746C1" w:rsidRDefault="006B3BBD" w:rsidP="008D4D26">
            <w:pPr>
              <w:rPr>
                <w:rFonts w:asciiTheme="minorHAnsi" w:hAnsiTheme="minorHAnsi"/>
              </w:rPr>
            </w:pPr>
          </w:p>
        </w:tc>
      </w:tr>
      <w:tr w:rsidR="00B746C1" w:rsidRPr="00B746C1" w14:paraId="1E386A7B" w14:textId="77777777" w:rsidTr="0067796E">
        <w:tc>
          <w:tcPr>
            <w:tcW w:w="3085" w:type="dxa"/>
          </w:tcPr>
          <w:p w14:paraId="661B5E51" w14:textId="77777777" w:rsidR="006B3BBD" w:rsidRPr="00B746C1" w:rsidRDefault="006B3BBD" w:rsidP="008D4D26">
            <w:pPr>
              <w:rPr>
                <w:rFonts w:asciiTheme="minorHAnsi" w:hAnsiTheme="minorHAnsi"/>
                <w:b/>
              </w:rPr>
            </w:pPr>
            <w:r w:rsidRPr="00B746C1">
              <w:rPr>
                <w:rFonts w:asciiTheme="minorHAnsi" w:hAnsiTheme="minorHAnsi"/>
                <w:b/>
              </w:rPr>
              <w:t>Call Closes</w:t>
            </w:r>
          </w:p>
        </w:tc>
        <w:tc>
          <w:tcPr>
            <w:tcW w:w="7088" w:type="dxa"/>
          </w:tcPr>
          <w:p w14:paraId="42FE3F23" w14:textId="77777777" w:rsidR="006B3BBD" w:rsidRPr="00B746C1" w:rsidRDefault="006B3BBD" w:rsidP="008D4D26">
            <w:pPr>
              <w:rPr>
                <w:rFonts w:asciiTheme="minorHAnsi" w:hAnsiTheme="minorHAnsi"/>
              </w:rPr>
            </w:pPr>
            <w:r w:rsidRPr="00B746C1">
              <w:rPr>
                <w:rFonts w:asciiTheme="minorHAnsi" w:hAnsiTheme="minorHAnsi"/>
              </w:rPr>
              <w:t>Stage 1 – Submission of Eligibility Questionnaire</w:t>
            </w:r>
          </w:p>
          <w:p w14:paraId="2EC90944" w14:textId="3BB5DE7F" w:rsidR="006B3BBD" w:rsidRPr="00B746C1" w:rsidRDefault="00A00142" w:rsidP="0067796E">
            <w:pPr>
              <w:pStyle w:val="ListParagraph"/>
              <w:widowControl/>
              <w:numPr>
                <w:ilvl w:val="0"/>
                <w:numId w:val="26"/>
              </w:numPr>
              <w:kinsoku/>
              <w:rPr>
                <w:rFonts w:asciiTheme="minorHAnsi" w:hAnsiTheme="minorHAnsi"/>
              </w:rPr>
            </w:pPr>
            <w:r w:rsidRPr="00B746C1">
              <w:rPr>
                <w:rFonts w:asciiTheme="minorHAnsi" w:hAnsiTheme="minorHAnsi"/>
              </w:rPr>
              <w:t>5pm Monday</w:t>
            </w:r>
            <w:r w:rsidR="008304CE" w:rsidRPr="00B746C1">
              <w:rPr>
                <w:rFonts w:asciiTheme="minorHAnsi" w:hAnsiTheme="minorHAnsi"/>
              </w:rPr>
              <w:t xml:space="preserve"> </w:t>
            </w:r>
            <w:r w:rsidRPr="00B746C1">
              <w:rPr>
                <w:rFonts w:asciiTheme="minorHAnsi" w:hAnsiTheme="minorHAnsi"/>
              </w:rPr>
              <w:t>15</w:t>
            </w:r>
            <w:r w:rsidR="008304CE" w:rsidRPr="00B746C1">
              <w:rPr>
                <w:rFonts w:asciiTheme="minorHAnsi" w:hAnsiTheme="minorHAnsi"/>
              </w:rPr>
              <w:t xml:space="preserve"> October 2018</w:t>
            </w:r>
          </w:p>
          <w:p w14:paraId="71755097" w14:textId="77777777" w:rsidR="006B3BBD" w:rsidRPr="00B746C1" w:rsidRDefault="006B3BBD" w:rsidP="008D4D26">
            <w:pPr>
              <w:rPr>
                <w:rFonts w:asciiTheme="minorHAnsi" w:hAnsiTheme="minorHAnsi"/>
              </w:rPr>
            </w:pPr>
            <w:r w:rsidRPr="00B746C1">
              <w:rPr>
                <w:rFonts w:asciiTheme="minorHAnsi" w:hAnsiTheme="minorHAnsi"/>
              </w:rPr>
              <w:t>Stage 2 – Submission of Full Application</w:t>
            </w:r>
          </w:p>
          <w:p w14:paraId="5B438F54" w14:textId="1BE02BDE" w:rsidR="008D4D26" w:rsidRPr="00B746C1" w:rsidRDefault="008304CE" w:rsidP="0067796E">
            <w:pPr>
              <w:pStyle w:val="ListParagraph"/>
              <w:numPr>
                <w:ilvl w:val="0"/>
                <w:numId w:val="26"/>
              </w:numPr>
              <w:rPr>
                <w:rFonts w:asciiTheme="minorHAnsi" w:hAnsiTheme="minorHAnsi"/>
              </w:rPr>
            </w:pPr>
            <w:r w:rsidRPr="00B746C1">
              <w:rPr>
                <w:rFonts w:asciiTheme="minorHAnsi" w:hAnsiTheme="minorHAnsi"/>
              </w:rPr>
              <w:t>5pm Friday 16</w:t>
            </w:r>
            <w:r w:rsidRPr="00B746C1">
              <w:rPr>
                <w:rFonts w:asciiTheme="minorHAnsi" w:hAnsiTheme="minorHAnsi"/>
                <w:vertAlign w:val="superscript"/>
              </w:rPr>
              <w:t xml:space="preserve"> </w:t>
            </w:r>
            <w:r w:rsidRPr="00B746C1">
              <w:rPr>
                <w:rFonts w:asciiTheme="minorHAnsi" w:hAnsiTheme="minorHAnsi"/>
              </w:rPr>
              <w:t>November 2018</w:t>
            </w:r>
          </w:p>
          <w:p w14:paraId="3CA1975C" w14:textId="77777777" w:rsidR="006B3BBD" w:rsidRPr="00B746C1" w:rsidRDefault="006B3BBD" w:rsidP="008D4D26">
            <w:pPr>
              <w:rPr>
                <w:rFonts w:asciiTheme="minorHAnsi" w:hAnsiTheme="minorHAnsi"/>
              </w:rPr>
            </w:pPr>
          </w:p>
        </w:tc>
      </w:tr>
    </w:tbl>
    <w:p w14:paraId="7559C427" w14:textId="77777777" w:rsidR="006B3BBD" w:rsidRPr="0067796E" w:rsidRDefault="006B3BBD" w:rsidP="006B3BBD">
      <w:pPr>
        <w:rPr>
          <w:rFonts w:asciiTheme="minorHAnsi" w:hAnsiTheme="minorHAnsi" w:cs="Arial"/>
        </w:rPr>
      </w:pPr>
    </w:p>
    <w:p w14:paraId="3E46DDEE" w14:textId="3B9DE00F" w:rsidR="00A30BA3" w:rsidRDefault="006B3BBD" w:rsidP="00A30BA3">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A30BA3" w:rsidRPr="00024DD6">
          <w:rPr>
            <w:rStyle w:val="Hyperlink"/>
            <w:rFonts w:asciiTheme="minorHAnsi" w:hAnsiTheme="minorHAnsi"/>
          </w:rPr>
          <w:t>www.folkestonecommunity.works</w:t>
        </w:r>
      </w:hyperlink>
    </w:p>
    <w:p w14:paraId="0FC6F359" w14:textId="3F89D115"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77777777"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77777777" w:rsidR="006B3BBD" w:rsidRPr="0067796E" w:rsidRDefault="006B3BBD" w:rsidP="0067796E">
      <w:pPr>
        <w:ind w:left="720"/>
        <w:rPr>
          <w:rFonts w:asciiTheme="minorHAnsi" w:hAnsiTheme="minorHAnsi"/>
        </w:rPr>
      </w:pPr>
      <w:r w:rsidRPr="0067796E">
        <w:rPr>
          <w:rFonts w:asciiTheme="minorHAnsi" w:hAnsiTheme="minorHAnsi"/>
        </w:rPr>
        <w:t xml:space="preserve">Folkestone Community Works CLLD is a community-led local development programme which aims to help residents in the central, east and harbour areas of Folkestone 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77777777" w:rsidR="006B3BBD" w:rsidRPr="0067796E" w:rsidRDefault="006B3BBD" w:rsidP="0067796E">
      <w:pPr>
        <w:ind w:left="720"/>
        <w:rPr>
          <w:rFonts w:asciiTheme="minorHAnsi" w:hAnsiTheme="minorHAnsi"/>
        </w:rPr>
      </w:pPr>
      <w:r w:rsidRPr="0067796E">
        <w:rPr>
          <w:rFonts w:asciiTheme="minorHAnsi" w:hAnsiTheme="minorHAnsi"/>
        </w:rPr>
        <w:t>The map below shows the eligible area for the programme funding.</w:t>
      </w:r>
    </w:p>
    <w:p w14:paraId="61C379D1" w14:textId="77777777" w:rsidR="006B3BBD" w:rsidRPr="0067796E" w:rsidRDefault="006B3BBD"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1717BD0B" w14:textId="77777777" w:rsidR="006B3BBD" w:rsidRPr="0067796E" w:rsidRDefault="006B3BBD" w:rsidP="006B3BBD">
      <w:pPr>
        <w:pStyle w:val="Default"/>
        <w:ind w:left="360"/>
        <w:rPr>
          <w:rFonts w:asciiTheme="minorHAnsi" w:hAnsiTheme="minorHAnsi" w:cstheme="minorBidi"/>
          <w:color w:val="auto"/>
          <w:lang w:val="en-US"/>
        </w:rPr>
      </w:pPr>
    </w:p>
    <w:p w14:paraId="04BBFB6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 Folkestone Community Works programme has access to European Structural Investment Funds (ESIF) that can be used to support projects which align with the objectives and priorities identified in the Programme Strategy.</w:t>
      </w:r>
    </w:p>
    <w:p w14:paraId="3AA979C9" w14:textId="77777777" w:rsidR="006B3BBD" w:rsidRPr="0067796E" w:rsidRDefault="006B3BBD" w:rsidP="006B3BBD">
      <w:pPr>
        <w:pStyle w:val="Default"/>
        <w:ind w:left="360"/>
        <w:rPr>
          <w:rFonts w:asciiTheme="minorHAnsi" w:hAnsiTheme="minorHAnsi" w:cstheme="minorBidi"/>
          <w:color w:val="auto"/>
          <w:lang w:val="en-US"/>
        </w:rPr>
      </w:pPr>
    </w:p>
    <w:p w14:paraId="12B1F12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 Programme has three objectives and eight actions to address the key issues in this part of Folkestone.</w:t>
      </w:r>
    </w:p>
    <w:p w14:paraId="4F7D5CE7" w14:textId="77777777" w:rsidR="006B3BBD" w:rsidRPr="0067796E" w:rsidRDefault="006B3BBD" w:rsidP="006B3BBD">
      <w:pPr>
        <w:pStyle w:val="Default"/>
        <w:ind w:left="360"/>
        <w:rPr>
          <w:rFonts w:asciiTheme="minorHAnsi" w:hAnsiTheme="minorHAnsi" w:cstheme="minorBidi"/>
          <w:color w:val="auto"/>
          <w:lang w:val="en-US"/>
        </w:rPr>
      </w:pPr>
    </w:p>
    <w:p w14:paraId="1761EDCD"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1 - Enhancing work-readiness and well-being</w:t>
      </w:r>
    </w:p>
    <w:p w14:paraId="22EC89D2"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1.1: Work experience and job preparation for young people</w:t>
      </w:r>
    </w:p>
    <w:p w14:paraId="6770078A"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1.2: Getting people back into work</w:t>
      </w:r>
    </w:p>
    <w:p w14:paraId="4FDE398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1.3: Promoting emotional and physical well-being</w:t>
      </w:r>
    </w:p>
    <w:p w14:paraId="1B53098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1.4: Promoting financial wellbeing</w:t>
      </w:r>
    </w:p>
    <w:p w14:paraId="5BA14D11" w14:textId="77777777" w:rsidR="006B3BBD" w:rsidRPr="0067796E" w:rsidRDefault="006B3BBD" w:rsidP="0067796E">
      <w:pPr>
        <w:pStyle w:val="Default"/>
        <w:ind w:left="720"/>
        <w:rPr>
          <w:rFonts w:asciiTheme="minorHAnsi" w:hAnsiTheme="minorHAnsi" w:cstheme="minorBidi"/>
          <w:color w:val="auto"/>
          <w:lang w:val="en-US"/>
        </w:rPr>
      </w:pPr>
    </w:p>
    <w:p w14:paraId="56167AE3"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2 - Promoting local business and social enterprise</w:t>
      </w:r>
    </w:p>
    <w:p w14:paraId="37753E04"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2.5: Promotion of social enterprise</w:t>
      </w:r>
    </w:p>
    <w:p w14:paraId="27D8FA58"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2.6: Support for business start-ups</w:t>
      </w:r>
    </w:p>
    <w:p w14:paraId="4A08C21B"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2.7: DIY Space /incubation</w:t>
      </w:r>
    </w:p>
    <w:p w14:paraId="4D0B723B" w14:textId="77777777" w:rsidR="006B3BBD" w:rsidRPr="0067796E" w:rsidRDefault="006B3BBD" w:rsidP="0067796E">
      <w:pPr>
        <w:pStyle w:val="Default"/>
        <w:ind w:left="720"/>
        <w:rPr>
          <w:rFonts w:asciiTheme="minorHAnsi" w:hAnsiTheme="minorHAnsi" w:cstheme="minorBidi"/>
          <w:b/>
          <w:color w:val="auto"/>
          <w:lang w:val="en-US"/>
        </w:rPr>
      </w:pPr>
    </w:p>
    <w:p w14:paraId="4B2A14E7"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lastRenderedPageBreak/>
        <w:t>Objective 3 - Integrated delivery mechanism for the strategy</w:t>
      </w:r>
    </w:p>
    <w:p w14:paraId="2870C91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3. 8: Setting up and operating the Community Hub</w:t>
      </w:r>
    </w:p>
    <w:p w14:paraId="09DF7C22" w14:textId="77777777" w:rsidR="006B3BBD" w:rsidRPr="0067796E" w:rsidRDefault="006B3BBD" w:rsidP="006B3BBD">
      <w:pPr>
        <w:pStyle w:val="Default"/>
        <w:ind w:left="360"/>
        <w:rPr>
          <w:rFonts w:asciiTheme="minorHAnsi" w:hAnsiTheme="minorHAnsi" w:cstheme="minorBidi"/>
          <w:color w:val="auto"/>
          <w:lang w:val="en-US"/>
        </w:rPr>
      </w:pP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0" w:type="auto"/>
        <w:tblInd w:w="817" w:type="dxa"/>
        <w:tblLayout w:type="fixed"/>
        <w:tblLook w:val="04A0" w:firstRow="1" w:lastRow="0" w:firstColumn="1" w:lastColumn="0" w:noHBand="0" w:noVBand="1"/>
      </w:tblPr>
      <w:tblGrid>
        <w:gridCol w:w="1701"/>
        <w:gridCol w:w="8498"/>
      </w:tblGrid>
      <w:tr w:rsidR="006B3BBD" w:rsidRPr="0067796E" w14:paraId="5F66B88B" w14:textId="77777777" w:rsidTr="0067796E">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6CD2633"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 SME businesses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 xml:space="preserve">Promoting local business and social enterprise of the Folkestone Community Works Local Development Strategy: </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0"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t>Represent value for money;</w:t>
            </w:r>
          </w:p>
          <w:p w14:paraId="286BFA3B" w14:textId="6CEB8C6D"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required minimum 50% match funding for the ERDF contribution and that the specific match funding stream does not include any ERDF funds received through other ESIF funded programmes.  For example, funds obtained from other 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1CDFE070"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an appropriate equal opportunities and appropriate sustainable development policies in place</w:t>
            </w:r>
            <w:r w:rsidR="00A30BA3">
              <w:rPr>
                <w:rFonts w:asciiTheme="minorHAnsi" w:hAnsiTheme="minorHAnsi"/>
              </w:rPr>
              <w:t>;</w:t>
            </w:r>
          </w:p>
          <w:p w14:paraId="62EDF21C" w14:textId="2BB5EC0A"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5D6DFBEE" w14:textId="77777777" w:rsidR="006B3BBD" w:rsidRPr="0067796E" w:rsidRDefault="006B3BBD" w:rsidP="008D4D26">
            <w:pPr>
              <w:rPr>
                <w:rFonts w:asciiTheme="minorHAnsi" w:hAnsiTheme="minorHAnsi"/>
              </w:rPr>
            </w:pPr>
          </w:p>
        </w:tc>
      </w:tr>
    </w:tbl>
    <w:p w14:paraId="02C29999" w14:textId="77777777" w:rsidR="006B3BBD" w:rsidRPr="0067796E" w:rsidRDefault="006B3BBD" w:rsidP="006B3BBD">
      <w:pPr>
        <w:autoSpaceDE w:val="0"/>
        <w:autoSpaceDN w:val="0"/>
        <w:adjustRightInd w:val="0"/>
        <w:spacing w:after="120"/>
        <w:jc w:val="both"/>
        <w:rPr>
          <w:rFonts w:asciiTheme="minorHAnsi" w:eastAsia="Calibri" w:hAnsiTheme="minorHAnsi" w:cs="Arial"/>
        </w:rPr>
      </w:pPr>
      <w:r w:rsidRPr="0067796E">
        <w:rPr>
          <w:rFonts w:asciiTheme="minorHAnsi" w:eastAsia="Calibri" w:hAnsiTheme="minorHAnsi" w:cs="Arial"/>
        </w:rPr>
        <w:t>.</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5DE22E8" w14:textId="77777777" w:rsidTr="00CB3F92">
        <w:tc>
          <w:tcPr>
            <w:tcW w:w="1701" w:type="dxa"/>
          </w:tcPr>
          <w:p w14:paraId="7E8B21AC" w14:textId="77777777" w:rsidR="006B3BBD" w:rsidRPr="0067796E" w:rsidRDefault="006B3BBD" w:rsidP="008D4D26">
            <w:pPr>
              <w:rPr>
                <w:rFonts w:asciiTheme="minorHAnsi" w:hAnsiTheme="minorHAnsi"/>
                <w:b/>
                <w:i/>
              </w:rPr>
            </w:pP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r w:rsidR="006B3BBD" w:rsidRPr="0067796E" w14:paraId="0A686D15" w14:textId="77777777" w:rsidTr="00CB3F92">
        <w:tc>
          <w:tcPr>
            <w:tcW w:w="1701" w:type="dxa"/>
          </w:tcPr>
          <w:p w14:paraId="45EE0BE7" w14:textId="77777777" w:rsidR="006B3BBD" w:rsidRPr="0067796E" w:rsidRDefault="006B3BBD" w:rsidP="008D4D26">
            <w:pPr>
              <w:rPr>
                <w:rFonts w:asciiTheme="minorHAnsi" w:hAnsiTheme="minorHAnsi"/>
                <w:b/>
                <w:i/>
              </w:rPr>
            </w:pPr>
            <w:r w:rsidRPr="0067796E">
              <w:rPr>
                <w:rFonts w:asciiTheme="minorHAnsi" w:hAnsiTheme="minorHAnsi"/>
                <w:b/>
                <w:i/>
              </w:rPr>
              <w:t>Actions</w:t>
            </w:r>
          </w:p>
          <w:p w14:paraId="584B6CCA" w14:textId="77777777" w:rsidR="006B3BBD" w:rsidRPr="0067796E" w:rsidRDefault="006B3BBD" w:rsidP="008D4D26">
            <w:pPr>
              <w:rPr>
                <w:rFonts w:asciiTheme="minorHAnsi" w:hAnsiTheme="minorHAnsi"/>
                <w:b/>
                <w:i/>
              </w:rPr>
            </w:pPr>
          </w:p>
        </w:tc>
        <w:tc>
          <w:tcPr>
            <w:tcW w:w="8498" w:type="dxa"/>
          </w:tcPr>
          <w:p w14:paraId="60997359" w14:textId="77777777"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2.5 Promotion of Social Enterprise and SMEs</w:t>
            </w:r>
          </w:p>
          <w:p w14:paraId="79EB01BC" w14:textId="77777777"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2.6: Support for 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bl>
    <w:p w14:paraId="7D3E11B4" w14:textId="77777777" w:rsidR="00CB3F92" w:rsidRDefault="00CB3F92">
      <w:r>
        <w:br w:type="page"/>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478398B1" w14:textId="77777777" w:rsidTr="00CB3F92">
        <w:tc>
          <w:tcPr>
            <w:tcW w:w="1701" w:type="dxa"/>
          </w:tcPr>
          <w:p w14:paraId="632D7BEB" w14:textId="49B9F022" w:rsidR="006B3BBD" w:rsidRPr="0067796E" w:rsidRDefault="006B3BBD" w:rsidP="008D4D26">
            <w:pPr>
              <w:rPr>
                <w:rFonts w:asciiTheme="minorHAnsi" w:hAnsiTheme="minorHAnsi"/>
                <w:b/>
                <w:i/>
              </w:rPr>
            </w:pPr>
            <w:r w:rsidRPr="0067796E">
              <w:rPr>
                <w:rFonts w:asciiTheme="minorHAnsi" w:hAnsiTheme="minorHAnsi"/>
                <w:b/>
                <w:i/>
              </w:rPr>
              <w:lastRenderedPageBreak/>
              <w:t>Funding allocation</w:t>
            </w:r>
          </w:p>
        </w:tc>
        <w:tc>
          <w:tcPr>
            <w:tcW w:w="8498" w:type="dxa"/>
          </w:tcPr>
          <w:p w14:paraId="58EE42C0" w14:textId="474DDBB6" w:rsidR="006B3BBD" w:rsidRPr="0067796E" w:rsidRDefault="006B3BBD" w:rsidP="0067796E">
            <w:pPr>
              <w:rPr>
                <w:rFonts w:asciiTheme="minorHAnsi" w:hAnsiTheme="minorHAnsi"/>
              </w:rPr>
            </w:pPr>
            <w:r w:rsidRPr="0067796E">
              <w:rPr>
                <w:rFonts w:asciiTheme="minorHAnsi" w:hAnsiTheme="minorHAnsi"/>
              </w:rPr>
              <w:t xml:space="preserve"> </w:t>
            </w:r>
            <w:r w:rsidRPr="0067796E">
              <w:rPr>
                <w:rFonts w:asciiTheme="minorHAnsi" w:hAnsiTheme="minorHAnsi"/>
                <w:noProof/>
                <w:lang w:val="en-GB"/>
              </w:rPr>
              <w:drawing>
                <wp:inline distT="0" distB="0" distL="0" distR="0" wp14:anchorId="76DAC45C" wp14:editId="2AD8408F">
                  <wp:extent cx="5359689"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689" cy="2066925"/>
                          </a:xfrm>
                          <a:prstGeom prst="rect">
                            <a:avLst/>
                          </a:prstGeom>
                          <a:noFill/>
                          <a:ln>
                            <a:noFill/>
                          </a:ln>
                        </pic:spPr>
                      </pic:pic>
                    </a:graphicData>
                  </a:graphic>
                </wp:inline>
              </w:drawing>
            </w:r>
            <w:r w:rsidRPr="0067796E" w:rsidDel="0026741C">
              <w:rPr>
                <w:rFonts w:asciiTheme="minorHAnsi" w:hAnsiTheme="minorHAnsi"/>
              </w:rPr>
              <w:t xml:space="preserve"> </w:t>
            </w:r>
          </w:p>
        </w:tc>
      </w:tr>
      <w:tr w:rsidR="00CD3724" w:rsidRPr="00CD3724" w14:paraId="0DD2E6EC" w14:textId="77777777" w:rsidTr="00CB3F92">
        <w:tc>
          <w:tcPr>
            <w:tcW w:w="1701" w:type="dxa"/>
          </w:tcPr>
          <w:p w14:paraId="1E858915" w14:textId="77777777" w:rsidR="006B3BBD" w:rsidRPr="00CD3724" w:rsidRDefault="006B3BBD" w:rsidP="008D4D26">
            <w:pPr>
              <w:rPr>
                <w:rFonts w:asciiTheme="minorHAnsi" w:hAnsiTheme="minorHAnsi" w:cs="Arial"/>
                <w:b/>
                <w:i/>
              </w:rPr>
            </w:pPr>
            <w:r w:rsidRPr="00CD3724">
              <w:rPr>
                <w:rFonts w:asciiTheme="minorHAnsi" w:hAnsiTheme="minorHAnsi"/>
                <w:b/>
                <w:i/>
              </w:rPr>
              <w:t xml:space="preserve">Funding available </w:t>
            </w:r>
          </w:p>
        </w:tc>
        <w:tc>
          <w:tcPr>
            <w:tcW w:w="8498" w:type="dxa"/>
          </w:tcPr>
          <w:p w14:paraId="4B259144" w14:textId="7B42C374" w:rsidR="00A00142" w:rsidRPr="00CD3724" w:rsidRDefault="00A00142" w:rsidP="008304CE">
            <w:pPr>
              <w:rPr>
                <w:rFonts w:asciiTheme="minorHAnsi" w:hAnsiTheme="minorHAnsi"/>
              </w:rPr>
            </w:pPr>
            <w:r w:rsidRPr="00CD3724">
              <w:rPr>
                <w:rFonts w:asciiTheme="minorHAnsi" w:hAnsiTheme="minorHAnsi"/>
              </w:rPr>
              <w:t>We are looking to award grants to up to 30 business.</w:t>
            </w:r>
          </w:p>
          <w:p w14:paraId="4C665B8C" w14:textId="1B3CB7C6" w:rsidR="006B3BBD" w:rsidRPr="00CD3724" w:rsidRDefault="008304CE" w:rsidP="008304CE">
            <w:pPr>
              <w:rPr>
                <w:rFonts w:asciiTheme="minorHAnsi" w:hAnsiTheme="minorHAnsi"/>
              </w:rPr>
            </w:pPr>
            <w:r w:rsidRPr="00CD3724">
              <w:rPr>
                <w:rFonts w:asciiTheme="minorHAnsi" w:hAnsiTheme="minorHAnsi"/>
              </w:rPr>
              <w:t>G</w:t>
            </w:r>
            <w:r w:rsidR="006B3BBD" w:rsidRPr="00CD3724">
              <w:rPr>
                <w:rFonts w:asciiTheme="minorHAnsi" w:hAnsiTheme="minorHAnsi"/>
              </w:rPr>
              <w:t>rant</w:t>
            </w:r>
            <w:r w:rsidRPr="00CD3724">
              <w:rPr>
                <w:rFonts w:asciiTheme="minorHAnsi" w:hAnsiTheme="minorHAnsi"/>
              </w:rPr>
              <w:t>s available to a single SME are to a maximum £7,500 in exceptional circumstances up to £20,000.</w:t>
            </w:r>
          </w:p>
        </w:tc>
      </w:tr>
      <w:tr w:rsidR="006B3BBD" w:rsidRPr="0067796E" w14:paraId="31DAFB64" w14:textId="77777777" w:rsidTr="00CB3F92">
        <w:tc>
          <w:tcPr>
            <w:tcW w:w="1701" w:type="dxa"/>
          </w:tcPr>
          <w:p w14:paraId="6EF1B623" w14:textId="77777777"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58CF93E7" w14:textId="5011088F" w:rsidR="006B3BBD" w:rsidRPr="0067796E"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B164A4">
              <w:rPr>
                <w:rFonts w:asciiTheme="minorHAnsi" w:hAnsiTheme="minorHAnsi"/>
              </w:rPr>
              <w:t>8</w:t>
            </w:r>
            <w:r w:rsidRPr="0067796E">
              <w:rPr>
                <w:rFonts w:asciiTheme="minorHAnsi" w:hAnsiTheme="minorHAnsi"/>
              </w:rPr>
              <w:t xml:space="preserve">; </w:t>
            </w:r>
            <w:r w:rsidR="00B164A4">
              <w:rPr>
                <w:rFonts w:asciiTheme="minorHAnsi" w:hAnsiTheme="minorHAnsi"/>
              </w:rPr>
              <w:t>29 March 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r w:rsidRPr="0067796E">
              <w:rPr>
                <w:rFonts w:asciiTheme="minorHAnsi" w:hAnsiTheme="minorHAnsi"/>
              </w:rPr>
              <w:t xml:space="preserve"> </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CB3F92">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CB3F92">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SMEs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6D229CB2"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Potential entrepreneurs/Pre-start businesses</w:t>
            </w:r>
          </w:p>
        </w:tc>
      </w:tr>
    </w:tbl>
    <w:p w14:paraId="3DE7928D" w14:textId="77777777" w:rsidR="00CB3F92" w:rsidRDefault="00CB3F92">
      <w:r>
        <w:br w:type="page"/>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08AA231A" w14:textId="77777777" w:rsidTr="00CB3F92">
        <w:tc>
          <w:tcPr>
            <w:tcW w:w="1701" w:type="dxa"/>
            <w:vAlign w:val="center"/>
          </w:tcPr>
          <w:p w14:paraId="7D07F35C" w14:textId="513A1FEC" w:rsidR="006B3BBD" w:rsidRPr="0067796E" w:rsidRDefault="006B3BBD" w:rsidP="008D4D26">
            <w:pPr>
              <w:rPr>
                <w:rFonts w:asciiTheme="minorHAnsi" w:hAnsiTheme="minorHAnsi"/>
                <w:b/>
                <w:i/>
              </w:rPr>
            </w:pPr>
            <w:r w:rsidRPr="0067796E">
              <w:rPr>
                <w:rFonts w:asciiTheme="minorHAnsi" w:hAnsiTheme="minorHAnsi"/>
                <w:b/>
                <w:i/>
              </w:rPr>
              <w:t>Examples of activity and potential interventions</w:t>
            </w:r>
          </w:p>
        </w:tc>
        <w:tc>
          <w:tcPr>
            <w:tcW w:w="8498" w:type="dxa"/>
            <w:vAlign w:val="center"/>
          </w:tcPr>
          <w:p w14:paraId="35101772" w14:textId="77777777" w:rsidR="006B3BBD" w:rsidRPr="0067796E" w:rsidRDefault="006B3BBD" w:rsidP="008D4D26">
            <w:pPr>
              <w:rPr>
                <w:rFonts w:asciiTheme="minorHAnsi" w:eastAsia="Calibri" w:hAnsiTheme="minorHAnsi" w:cs="Arial"/>
              </w:rPr>
            </w:pPr>
            <w:r w:rsidRPr="0067796E">
              <w:rPr>
                <w:rFonts w:asciiTheme="minorHAnsi" w:eastAsia="Calibri" w:hAnsiTheme="minorHAnsi" w:cs="Arial"/>
              </w:rPr>
              <w:t>ERDF capital and revenue grants are available to directly deliver a project and in accordance with the ERDF Eligibility Guidance.  Purposes for which ERDF capital grants area available include:</w:t>
            </w:r>
          </w:p>
          <w:p w14:paraId="4560302E" w14:textId="77777777"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Small scale building refurbishment - including external/internal refurbishment and conversion of existing buildings up to a maximum ERDF grant of £10,000.</w:t>
            </w:r>
          </w:p>
          <w:p w14:paraId="16251E4B" w14:textId="2E13C6BE"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Pr="0067796E">
              <w:rPr>
                <w:rFonts w:asciiTheme="minorHAnsi" w:eastAsia="Calibri" w:hAnsiTheme="minorHAnsi" w:cs="Arial"/>
                <w:lang w:val="en-GB"/>
              </w:rPr>
              <w:t xml:space="preserve"> equipment required for research purposes. If plant and machinery is subject to hire/lease purchase agreements, the capitalised value of leasing and hire purchase can be included. </w:t>
            </w:r>
          </w:p>
          <w:p w14:paraId="2907E4F6" w14:textId="77777777"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Fees and salaries - for design and supervision, legal consultancy fees, notarial fees, and the cost of technical and financial experts if they are directly linked to the project and are necessary for its preparation or implementation.</w:t>
            </w:r>
          </w:p>
          <w:p w14:paraId="2EE7704F" w14:textId="77777777" w:rsidR="006B3BBD" w:rsidRPr="0067796E" w:rsidRDefault="006B3BBD" w:rsidP="008D4D26">
            <w:pPr>
              <w:rPr>
                <w:rFonts w:asciiTheme="minorHAnsi" w:eastAsia="Calibri" w:hAnsiTheme="minorHAnsi" w:cs="Arial"/>
              </w:rPr>
            </w:pPr>
          </w:p>
          <w:p w14:paraId="7FCC505A" w14:textId="77777777" w:rsidR="006B3BBD" w:rsidRPr="0067796E" w:rsidRDefault="006B3BBD" w:rsidP="008D4D26">
            <w:pPr>
              <w:rPr>
                <w:rFonts w:asciiTheme="minorHAnsi" w:eastAsia="Calibri" w:hAnsiTheme="minorHAnsi" w:cs="Arial"/>
              </w:rPr>
            </w:pPr>
            <w:r w:rsidRPr="0067796E">
              <w:rPr>
                <w:rFonts w:asciiTheme="minorHAnsi" w:eastAsia="Calibri" w:hAnsiTheme="minorHAnsi" w:cs="Arial"/>
              </w:rPr>
              <w:t>ERDF revenue grants may be available for purposes  such as:</w:t>
            </w:r>
          </w:p>
          <w:p w14:paraId="5C337BBD" w14:textId="28F3FB89" w:rsidR="006B3BBD" w:rsidRPr="0067796E" w:rsidRDefault="006B3BBD" w:rsidP="006B3BBD">
            <w:pPr>
              <w:pStyle w:val="ListParagraph"/>
              <w:widowControl/>
              <w:numPr>
                <w:ilvl w:val="0"/>
                <w:numId w:val="21"/>
              </w:numPr>
              <w:kinsoku/>
              <w:rPr>
                <w:rFonts w:asciiTheme="minorHAnsi" w:eastAsia="Calibri" w:hAnsiTheme="minorHAnsi" w:cs="Arial"/>
                <w:lang w:val="en-GB"/>
              </w:rPr>
            </w:pPr>
            <w:r w:rsidRPr="0067796E">
              <w:rPr>
                <w:rFonts w:asciiTheme="minorHAnsi" w:eastAsia="Calibri" w:hAnsiTheme="minorHAnsi" w:cs="Arial"/>
                <w:lang w:val="en-GB"/>
              </w:rPr>
              <w:t>Premises costs and associated running costs which are e</w:t>
            </w:r>
            <w:r w:rsidR="00A30BA3">
              <w:rPr>
                <w:rFonts w:asciiTheme="minorHAnsi" w:eastAsia="Calibri" w:hAnsiTheme="minorHAnsi" w:cs="Arial"/>
                <w:lang w:val="en-GB"/>
              </w:rPr>
              <w:t>xclusively used for the project</w:t>
            </w:r>
          </w:p>
          <w:p w14:paraId="3E1EE2FE" w14:textId="4725BC52" w:rsidR="006B3BBD" w:rsidRPr="0067796E" w:rsidRDefault="00A30BA3" w:rsidP="006B3BBD">
            <w:pPr>
              <w:pStyle w:val="ListParagraph"/>
              <w:widowControl/>
              <w:numPr>
                <w:ilvl w:val="0"/>
                <w:numId w:val="21"/>
              </w:numPr>
              <w:kinsoku/>
              <w:rPr>
                <w:rFonts w:asciiTheme="minorHAnsi" w:eastAsia="Calibri" w:hAnsiTheme="minorHAnsi" w:cs="Arial"/>
                <w:lang w:val="en-GB"/>
              </w:rPr>
            </w:pPr>
            <w:r>
              <w:rPr>
                <w:rFonts w:asciiTheme="minorHAnsi" w:eastAsia="Calibri" w:hAnsiTheme="minorHAnsi" w:cs="Arial"/>
                <w:lang w:val="en-GB"/>
              </w:rPr>
              <w:t>Equipment</w:t>
            </w:r>
          </w:p>
          <w:p w14:paraId="41F7023D" w14:textId="77777777" w:rsidR="006B3BBD" w:rsidRPr="0067796E" w:rsidRDefault="006B3BBD" w:rsidP="006B3BBD">
            <w:pPr>
              <w:pStyle w:val="ListParagraph"/>
              <w:widowControl/>
              <w:numPr>
                <w:ilvl w:val="0"/>
                <w:numId w:val="21"/>
              </w:numPr>
              <w:kinsoku/>
              <w:rPr>
                <w:rFonts w:asciiTheme="minorHAnsi" w:eastAsia="Calibri" w:hAnsiTheme="minorHAnsi" w:cs="Arial"/>
                <w:lang w:val="en-GB"/>
              </w:rPr>
            </w:pPr>
            <w:r w:rsidRPr="0067796E">
              <w:rPr>
                <w:rFonts w:asciiTheme="minorHAnsi" w:eastAsia="Calibri" w:hAnsiTheme="minorHAnsi" w:cs="Arial"/>
                <w:lang w:val="en-GB"/>
              </w:rPr>
              <w:t>Marketing, publicity and evaluation costs</w:t>
            </w:r>
          </w:p>
          <w:p w14:paraId="3C1DC171" w14:textId="7C86A1A2" w:rsidR="006B3BBD" w:rsidRPr="0067796E" w:rsidRDefault="00A30BA3" w:rsidP="006B3BBD">
            <w:pPr>
              <w:pStyle w:val="ListParagraph"/>
              <w:widowControl/>
              <w:numPr>
                <w:ilvl w:val="0"/>
                <w:numId w:val="21"/>
              </w:numPr>
              <w:kinsoku/>
              <w:rPr>
                <w:rFonts w:asciiTheme="minorHAnsi" w:eastAsia="Calibri" w:hAnsiTheme="minorHAnsi" w:cs="Arial"/>
                <w:lang w:val="en-GB"/>
              </w:rPr>
            </w:pPr>
            <w:r>
              <w:rPr>
                <w:rFonts w:asciiTheme="minorHAnsi" w:eastAsia="Calibri" w:hAnsiTheme="minorHAnsi" w:cs="Arial"/>
                <w:lang w:val="en-GB"/>
              </w:rPr>
              <w:t>Procured goods/services/works</w:t>
            </w:r>
          </w:p>
          <w:p w14:paraId="5C92D960" w14:textId="77777777" w:rsidR="006B3BBD" w:rsidRPr="0067796E" w:rsidRDefault="006B3BBD" w:rsidP="006B3BBD">
            <w:pPr>
              <w:pStyle w:val="ListParagraph"/>
              <w:widowControl/>
              <w:numPr>
                <w:ilvl w:val="0"/>
                <w:numId w:val="21"/>
              </w:numPr>
              <w:kinsoku/>
              <w:rPr>
                <w:rFonts w:asciiTheme="minorHAnsi" w:hAnsiTheme="minorHAnsi"/>
                <w:lang w:val="en-GB"/>
              </w:rPr>
            </w:pPr>
            <w:r w:rsidRPr="0067796E">
              <w:rPr>
                <w:rFonts w:asciiTheme="minorHAnsi" w:eastAsia="Calibri" w:hAnsiTheme="minorHAnsi" w:cs="Arial"/>
                <w:lang w:val="en-GB"/>
              </w:rPr>
              <w:t xml:space="preserve">Premises costs such as rent, gas, electricity, water and insurance </w:t>
            </w:r>
          </w:p>
        </w:tc>
      </w:tr>
      <w:tr w:rsidR="006B3BBD" w:rsidRPr="0067796E" w14:paraId="33E04F08" w14:textId="77777777" w:rsidTr="00CB3F92">
        <w:tc>
          <w:tcPr>
            <w:tcW w:w="1701" w:type="dxa"/>
          </w:tcPr>
          <w:p w14:paraId="02114D27" w14:textId="77777777" w:rsidR="006B3BBD" w:rsidRPr="0067796E" w:rsidRDefault="006B3BBD" w:rsidP="008D4D26">
            <w:pPr>
              <w:rPr>
                <w:rFonts w:asciiTheme="minorHAnsi" w:hAnsiTheme="minorHAnsi"/>
                <w:b/>
                <w:i/>
              </w:rPr>
            </w:pPr>
            <w:r w:rsidRPr="0067796E">
              <w:rPr>
                <w:rFonts w:asciiTheme="minorHAnsi" w:hAnsiTheme="minorHAnsi"/>
                <w:b/>
                <w:i/>
              </w:rPr>
              <w:t>Outputs and Results</w:t>
            </w:r>
          </w:p>
        </w:tc>
        <w:tc>
          <w:tcPr>
            <w:tcW w:w="8498" w:type="dxa"/>
            <w:vAlign w:val="center"/>
          </w:tcPr>
          <w:p w14:paraId="6CC98730" w14:textId="77777777" w:rsidR="006B3BBD" w:rsidRPr="0067796E" w:rsidRDefault="006B3BBD" w:rsidP="008D4D26">
            <w:pPr>
              <w:rPr>
                <w:rFonts w:asciiTheme="minorHAnsi" w:hAnsiTheme="minorHAnsi"/>
              </w:rPr>
            </w:pPr>
            <w:r w:rsidRPr="0067796E">
              <w:rPr>
                <w:rFonts w:asciiTheme="minorHAnsi" w:hAnsiTheme="minorHAnsi"/>
              </w:rPr>
              <w:t>Projects are required to focus on and deliver support which will deliver the following outputs:</w:t>
            </w:r>
          </w:p>
          <w:p w14:paraId="0A543B39"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Increased employment in supported enterprise (ERDF CO08)</w:t>
            </w:r>
          </w:p>
          <w:p w14:paraId="5C70AAC9"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New products to be developed</w:t>
            </w:r>
          </w:p>
          <w:p w14:paraId="6954B9E2"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New processes to be introduced or further developed</w:t>
            </w:r>
          </w:p>
          <w:p w14:paraId="726BFD46" w14:textId="77777777" w:rsidR="006B3BBD" w:rsidRPr="0067796E" w:rsidRDefault="006B3BBD" w:rsidP="008D4D26">
            <w:pPr>
              <w:rPr>
                <w:rFonts w:asciiTheme="minorHAnsi" w:hAnsiTheme="minorHAnsi"/>
                <w:b/>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Project Match Funding Requirements</w:t>
      </w:r>
    </w:p>
    <w:p w14:paraId="4A5D1CE4" w14:textId="77777777" w:rsidR="006B3BBD" w:rsidRDefault="006B3BBD" w:rsidP="0067796E">
      <w:pPr>
        <w:ind w:left="720"/>
        <w:rPr>
          <w:rFonts w:asciiTheme="minorHAnsi" w:eastAsia="Arial" w:hAnsiTheme="minorHAnsi" w:cs="Arial"/>
        </w:rPr>
      </w:pPr>
      <w:r w:rsidRPr="0067796E">
        <w:rPr>
          <w:rFonts w:asciiTheme="minorHAnsi" w:hAnsiTheme="minorHAnsi"/>
        </w:rPr>
        <w:t xml:space="preserve">There is a requirement for an SME to provide a minimum of 50% match funding for an ERDF grant.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CD3724">
      <w:pPr>
        <w:pStyle w:val="ListParagraph"/>
        <w:widowControl/>
        <w:numPr>
          <w:ilvl w:val="0"/>
          <w:numId w:val="16"/>
        </w:numPr>
        <w:kinsoku/>
        <w:spacing w:after="160" w:line="259" w:lineRule="auto"/>
        <w:ind w:left="1440"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CD3724">
      <w:pPr>
        <w:pStyle w:val="ListParagraph"/>
        <w:widowControl/>
        <w:numPr>
          <w:ilvl w:val="0"/>
          <w:numId w:val="16"/>
        </w:numPr>
        <w:kinsoku/>
        <w:spacing w:after="160" w:line="259" w:lineRule="auto"/>
        <w:ind w:left="1440"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CD3724">
      <w:pPr>
        <w:pStyle w:val="ListParagraph"/>
        <w:widowControl/>
        <w:numPr>
          <w:ilvl w:val="0"/>
          <w:numId w:val="16"/>
        </w:numPr>
        <w:kinsoku/>
        <w:spacing w:after="160" w:line="259" w:lineRule="auto"/>
        <w:ind w:left="1440"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CD3724">
      <w:pPr>
        <w:pStyle w:val="ListParagraph"/>
        <w:widowControl/>
        <w:numPr>
          <w:ilvl w:val="0"/>
          <w:numId w:val="16"/>
        </w:numPr>
        <w:kinsoku/>
        <w:spacing w:after="160" w:line="259" w:lineRule="auto"/>
        <w:ind w:left="1440"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CD3724">
      <w:pPr>
        <w:pStyle w:val="ListParagraph"/>
        <w:widowControl/>
        <w:numPr>
          <w:ilvl w:val="0"/>
          <w:numId w:val="16"/>
        </w:numPr>
        <w:kinsoku/>
        <w:spacing w:after="160" w:line="259" w:lineRule="auto"/>
        <w:ind w:left="1440"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CD3724">
      <w:pPr>
        <w:pStyle w:val="ListParagraph"/>
        <w:widowControl/>
        <w:numPr>
          <w:ilvl w:val="0"/>
          <w:numId w:val="17"/>
        </w:numPr>
        <w:kinsoku/>
        <w:spacing w:after="160" w:line="259" w:lineRule="auto"/>
        <w:ind w:left="1440"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CD3724">
      <w:pPr>
        <w:pStyle w:val="ListParagraph"/>
        <w:widowControl/>
        <w:numPr>
          <w:ilvl w:val="0"/>
          <w:numId w:val="17"/>
        </w:numPr>
        <w:kinsoku/>
        <w:spacing w:after="160" w:line="259" w:lineRule="auto"/>
        <w:ind w:left="1440"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CD3724">
      <w:pPr>
        <w:pStyle w:val="ListParagraph"/>
        <w:widowControl/>
        <w:numPr>
          <w:ilvl w:val="0"/>
          <w:numId w:val="17"/>
        </w:numPr>
        <w:kinsoku/>
        <w:spacing w:after="160" w:line="259" w:lineRule="auto"/>
        <w:ind w:left="1440"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77777777" w:rsidR="006B3BBD" w:rsidRPr="0067796E" w:rsidRDefault="006B3BBD" w:rsidP="0067796E">
      <w:pPr>
        <w:spacing w:after="232" w:line="249" w:lineRule="auto"/>
        <w:ind w:left="683" w:right="708"/>
        <w:jc w:val="both"/>
        <w:rPr>
          <w:rFonts w:asciiTheme="minorHAnsi" w:hAnsiTheme="minorHAnsi"/>
        </w:rPr>
      </w:pPr>
      <w:r w:rsidRPr="0067796E">
        <w:rPr>
          <w:rFonts w:asciiTheme="minorHAnsi" w:hAnsiTheme="minorHAnsi"/>
        </w:rPr>
        <w:t>Evidence that the match funding has been secured will be required prior to the signing of the Grant Funding Agreement before any grant is made.</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77777777" w:rsidR="006B3BBD" w:rsidRPr="0067796E" w:rsidRDefault="006B3BBD" w:rsidP="0067796E">
      <w:pPr>
        <w:autoSpaceDE w:val="0"/>
        <w:autoSpaceDN w:val="0"/>
        <w:adjustRightInd w:val="0"/>
        <w:spacing w:after="120"/>
        <w:ind w:left="397" w:firstLine="397"/>
        <w:jc w:val="both"/>
        <w:rPr>
          <w:rFonts w:asciiTheme="minorHAnsi" w:eastAsia="Arial" w:hAnsiTheme="minorHAnsi" w:cs="Arial"/>
        </w:rPr>
      </w:pPr>
      <w:r w:rsidRPr="0067796E">
        <w:rPr>
          <w:rFonts w:asciiTheme="minorHAnsi" w:eastAsia="Arial" w:hAnsiTheme="minorHAnsi" w:cs="Arial"/>
        </w:rPr>
        <w:t>The grant application process comprises two stages:</w:t>
      </w:r>
    </w:p>
    <w:p w14:paraId="5B7AD56D" w14:textId="77777777" w:rsidR="006B3BBD" w:rsidRPr="0067796E" w:rsidRDefault="006B3BBD" w:rsidP="0067796E">
      <w:pPr>
        <w:ind w:left="397" w:firstLine="397"/>
        <w:rPr>
          <w:rFonts w:asciiTheme="minorHAnsi" w:hAnsiTheme="minorHAnsi"/>
          <w:b/>
          <w:sz w:val="28"/>
          <w:szCs w:val="28"/>
          <w:u w:val="single"/>
        </w:rPr>
      </w:pPr>
      <w:r w:rsidRPr="0067796E">
        <w:rPr>
          <w:rFonts w:asciiTheme="minorHAnsi" w:hAnsiTheme="minorHAnsi"/>
          <w:b/>
          <w:sz w:val="28"/>
          <w:szCs w:val="28"/>
          <w:u w:val="single"/>
        </w:rPr>
        <w:t>Stage 1: Completing Eligibility Questionnaire</w:t>
      </w:r>
    </w:p>
    <w:p w14:paraId="387B0267" w14:textId="77777777" w:rsidR="007228E7" w:rsidRDefault="007228E7" w:rsidP="0067796E">
      <w:pPr>
        <w:ind w:left="794"/>
        <w:rPr>
          <w:rFonts w:asciiTheme="minorHAnsi" w:eastAsia="Arial" w:hAnsiTheme="minorHAnsi" w:cs="Arial"/>
        </w:rPr>
      </w:pPr>
    </w:p>
    <w:p w14:paraId="125A977C" w14:textId="456EDED7" w:rsidR="006B3BBD" w:rsidRDefault="006B3BBD" w:rsidP="0067796E">
      <w:pPr>
        <w:ind w:left="794"/>
        <w:rPr>
          <w:rFonts w:asciiTheme="minorHAnsi" w:eastAsia="Arial" w:hAnsiTheme="minorHAnsi" w:cs="Arial"/>
        </w:rPr>
      </w:pPr>
      <w:r w:rsidRPr="0067796E">
        <w:rPr>
          <w:rFonts w:asciiTheme="minorHAnsi" w:eastAsia="Arial" w:hAnsiTheme="minorHAnsi" w:cs="Arial"/>
        </w:rPr>
        <w:t xml:space="preserve">SMEs are required to complete an Eligibility Questionnaire (EQ).  This document is enclosed with the Call for Project pack and is also available in electronic form from </w:t>
      </w:r>
      <w:hyperlink r:id="rId13" w:history="1">
        <w:r w:rsidR="00A30BA3" w:rsidRPr="00024DD6">
          <w:rPr>
            <w:rStyle w:val="Hyperlink"/>
            <w:rFonts w:asciiTheme="minorHAnsi" w:eastAsia="Arial" w:hAnsiTheme="minorHAnsi" w:cs="Arial"/>
          </w:rPr>
          <w:t>www.folkestonecommunity.works</w:t>
        </w:r>
      </w:hyperlink>
      <w:r w:rsidR="00A30BA3">
        <w:rPr>
          <w:rFonts w:asciiTheme="minorHAnsi" w:eastAsia="Arial" w:hAnsiTheme="minorHAnsi" w:cs="Arial"/>
        </w:rPr>
        <w:t xml:space="preserve"> </w:t>
      </w:r>
    </w:p>
    <w:p w14:paraId="3226104F" w14:textId="77777777" w:rsidR="007228E7" w:rsidRPr="0067796E" w:rsidRDefault="007228E7" w:rsidP="0067796E">
      <w:pPr>
        <w:ind w:left="794"/>
        <w:rPr>
          <w:rFonts w:asciiTheme="minorHAnsi" w:eastAsia="Arial" w:hAnsiTheme="minorHAnsi" w:cs="Arial"/>
          <w:u w:val="single"/>
        </w:rPr>
      </w:pPr>
    </w:p>
    <w:p w14:paraId="38721E34" w14:textId="4F17A87D" w:rsidR="006B3BBD" w:rsidRDefault="006B3BBD" w:rsidP="0067796E">
      <w:pPr>
        <w:ind w:left="794"/>
        <w:rPr>
          <w:rFonts w:asciiTheme="minorHAnsi" w:hAnsiTheme="minorHAnsi"/>
        </w:rPr>
      </w:pPr>
      <w:r w:rsidRPr="0067796E">
        <w:rPr>
          <w:rFonts w:asciiTheme="minorHAnsi" w:hAnsiTheme="minorHAnsi"/>
        </w:rPr>
        <w:t>If required, 1-2-1 support to complete this will be provided by the Folkestone CLLD Programme Manager w</w:t>
      </w:r>
      <w:r w:rsidR="007228E7" w:rsidRPr="0067796E">
        <w:rPr>
          <w:rFonts w:asciiTheme="minorHAnsi" w:hAnsiTheme="minorHAnsi"/>
        </w:rPr>
        <w:t>ho can be contacted via email</w:t>
      </w:r>
      <w:r w:rsidR="007228E7">
        <w:rPr>
          <w:rFonts w:asciiTheme="minorHAnsi" w:hAnsiTheme="minorHAnsi"/>
        </w:rPr>
        <w:t xml:space="preserve"> to</w:t>
      </w:r>
      <w:r w:rsidR="007228E7" w:rsidRPr="0067796E">
        <w:rPr>
          <w:rFonts w:asciiTheme="minorHAnsi" w:hAnsiTheme="minorHAnsi"/>
        </w:rPr>
        <w:t xml:space="preserve"> </w:t>
      </w:r>
      <w:hyperlink r:id="rId14" w:history="1">
        <w:r w:rsidR="009931A1" w:rsidRPr="00AE43E2">
          <w:rPr>
            <w:rStyle w:val="Hyperlink"/>
            <w:rFonts w:asciiTheme="minorHAnsi" w:eastAsia="Calibri" w:hAnsiTheme="minorHAnsi" w:cs="Arial"/>
            <w:u w:val="none"/>
          </w:rPr>
          <w:t>folkestonecommunityworks@folkestone-hythe.gov.uk</w:t>
        </w:r>
      </w:hyperlink>
    </w:p>
    <w:p w14:paraId="3BFEC93D" w14:textId="77777777" w:rsidR="007228E7" w:rsidRPr="0067796E" w:rsidRDefault="007228E7" w:rsidP="0067796E">
      <w:pPr>
        <w:ind w:left="794"/>
        <w:rPr>
          <w:rFonts w:asciiTheme="minorHAnsi" w:hAnsiTheme="minorHAnsi"/>
        </w:rPr>
      </w:pPr>
    </w:p>
    <w:p w14:paraId="0CFD8689" w14:textId="77777777" w:rsidR="006B3BBD" w:rsidRPr="0067796E" w:rsidRDefault="006B3BBD" w:rsidP="0067796E">
      <w:pPr>
        <w:ind w:left="794"/>
        <w:rPr>
          <w:rFonts w:asciiTheme="minorHAnsi" w:hAnsiTheme="minorHAnsi"/>
        </w:rPr>
      </w:pPr>
      <w:r w:rsidRPr="0067796E">
        <w:rPr>
          <w:rFonts w:asciiTheme="minorHAnsi" w:hAnsiTheme="minorHAnsi"/>
        </w:rPr>
        <w:t xml:space="preserve">The completed EQ will be used to determine whether the SME has met the eligibility criteria and can progress to the completion of the full application.  </w:t>
      </w:r>
    </w:p>
    <w:p w14:paraId="6217E9B4" w14:textId="77777777" w:rsidR="007228E7" w:rsidRDefault="007228E7" w:rsidP="0067796E">
      <w:pPr>
        <w:ind w:left="794"/>
        <w:rPr>
          <w:rFonts w:asciiTheme="minorHAnsi" w:hAnsiTheme="minorHAnsi"/>
        </w:rPr>
      </w:pPr>
    </w:p>
    <w:p w14:paraId="751F00D8" w14:textId="579F7024" w:rsidR="006B3BBD" w:rsidRPr="0067796E" w:rsidRDefault="006B3BBD" w:rsidP="0067796E">
      <w:pPr>
        <w:ind w:left="794"/>
        <w:rPr>
          <w:rFonts w:asciiTheme="minorHAnsi" w:hAnsiTheme="minorHAnsi"/>
        </w:rPr>
      </w:pPr>
      <w:r w:rsidRPr="0067796E">
        <w:rPr>
          <w:rFonts w:asciiTheme="minorHAnsi" w:hAnsiTheme="minorHAnsi"/>
        </w:rPr>
        <w:t>All potential project applicants to complete the Eligibility Questionnaire (EQ) by the submission dat</w:t>
      </w:r>
      <w:r w:rsidR="00CD3724">
        <w:rPr>
          <w:rFonts w:asciiTheme="minorHAnsi" w:hAnsiTheme="minorHAnsi"/>
        </w:rPr>
        <w:t>e.</w:t>
      </w:r>
    </w:p>
    <w:p w14:paraId="41705ED2" w14:textId="77964C13" w:rsidR="006B3BBD" w:rsidRPr="00CD3724" w:rsidRDefault="006B3BBD" w:rsidP="0067796E">
      <w:pPr>
        <w:ind w:left="397" w:firstLine="397"/>
        <w:rPr>
          <w:rFonts w:asciiTheme="minorHAnsi" w:eastAsia="Calibri" w:hAnsiTheme="minorHAnsi" w:cs="Arial"/>
          <w:b/>
        </w:rPr>
      </w:pPr>
      <w:r w:rsidRPr="00CD3724">
        <w:rPr>
          <w:rFonts w:asciiTheme="minorHAnsi" w:eastAsia="Calibri" w:hAnsiTheme="minorHAnsi" w:cs="Arial"/>
          <w:b/>
        </w:rPr>
        <w:t xml:space="preserve">The submission date for </w:t>
      </w:r>
      <w:r w:rsidR="00530CDB" w:rsidRPr="00CD3724">
        <w:rPr>
          <w:rFonts w:asciiTheme="minorHAnsi" w:eastAsia="Calibri" w:hAnsiTheme="minorHAnsi" w:cs="Arial"/>
          <w:b/>
        </w:rPr>
        <w:t>the Eligibility</w:t>
      </w:r>
      <w:r w:rsidRPr="00CD3724">
        <w:rPr>
          <w:rFonts w:asciiTheme="minorHAnsi" w:eastAsia="Calibri" w:hAnsiTheme="minorHAnsi" w:cs="Arial"/>
          <w:b/>
        </w:rPr>
        <w:t xml:space="preserve"> Questionnaire is 5pm </w:t>
      </w:r>
      <w:r w:rsidR="00CD3724">
        <w:rPr>
          <w:rFonts w:asciiTheme="minorHAnsi" w:eastAsia="Calibri" w:hAnsiTheme="minorHAnsi" w:cs="Arial"/>
          <w:b/>
        </w:rPr>
        <w:t>Monday 15</w:t>
      </w:r>
      <w:r w:rsidR="008304CE" w:rsidRPr="00CD3724">
        <w:rPr>
          <w:rFonts w:asciiTheme="minorHAnsi" w:eastAsia="Calibri" w:hAnsiTheme="minorHAnsi" w:cs="Arial"/>
          <w:b/>
        </w:rPr>
        <w:t xml:space="preserve"> October 2018</w:t>
      </w:r>
      <w:r w:rsidR="00CD3724">
        <w:rPr>
          <w:rFonts w:asciiTheme="minorHAnsi" w:eastAsia="Calibri" w:hAnsiTheme="minorHAnsi" w:cs="Arial"/>
          <w:b/>
        </w:rPr>
        <w:t>.</w:t>
      </w:r>
    </w:p>
    <w:p w14:paraId="4A6D98C0" w14:textId="77777777" w:rsidR="007228E7" w:rsidRDefault="007228E7" w:rsidP="0067796E">
      <w:pPr>
        <w:pStyle w:val="Heading3"/>
        <w:ind w:left="794"/>
        <w:rPr>
          <w:rFonts w:asciiTheme="minorHAnsi" w:eastAsia="Calibri" w:hAnsiTheme="minorHAnsi"/>
        </w:rPr>
      </w:pPr>
    </w:p>
    <w:p w14:paraId="0EF27DFA" w14:textId="3016C23C" w:rsidR="006B3BBD" w:rsidRPr="0067796E" w:rsidRDefault="006B3BBD" w:rsidP="0067796E">
      <w:pPr>
        <w:pStyle w:val="Heading3"/>
        <w:ind w:left="794"/>
        <w:rPr>
          <w:rFonts w:asciiTheme="minorHAnsi" w:eastAsia="Calibri" w:hAnsiTheme="minorHAnsi"/>
          <w:b/>
          <w:bCs/>
        </w:rPr>
      </w:pPr>
      <w:r w:rsidRPr="0067796E">
        <w:rPr>
          <w:rFonts w:asciiTheme="minorHAnsi" w:eastAsia="Calibri" w:hAnsiTheme="minorHAnsi"/>
        </w:rPr>
        <w:t xml:space="preserve">Please email the completed Eligibility Questionnaire to:  </w:t>
      </w:r>
      <w:hyperlink r:id="rId15" w:history="1">
        <w:r w:rsidR="009931A1" w:rsidRPr="00753C0F">
          <w:rPr>
            <w:rStyle w:val="Hyperlink"/>
            <w:rFonts w:asciiTheme="minorHAnsi" w:eastAsia="Calibri" w:hAnsiTheme="minorHAnsi"/>
          </w:rPr>
          <w:t>folkestonecommunityworks@folkestone-hythe.gov.uk</w:t>
        </w:r>
      </w:hyperlink>
    </w:p>
    <w:p w14:paraId="07D79194" w14:textId="77777777" w:rsidR="006B3BBD" w:rsidRDefault="006B3BBD" w:rsidP="0067796E">
      <w:pPr>
        <w:ind w:left="794"/>
        <w:rPr>
          <w:rFonts w:asciiTheme="minorHAnsi" w:hAnsiTheme="minorHAnsi"/>
        </w:rPr>
      </w:pPr>
      <w:r w:rsidRPr="0067796E">
        <w:rPr>
          <w:rFonts w:asciiTheme="minorHAnsi" w:hAnsiTheme="minorHAnsi"/>
        </w:rPr>
        <w:t>After the submission of the EQ the CLLD Programme Project Assessor will undertake an assessment and make recommendations to the Local Action Group which makes decisions on whether the applicant has met the eligibility criteria and should progress to the submission of a full application.</w:t>
      </w:r>
    </w:p>
    <w:p w14:paraId="5DE090FA" w14:textId="77777777" w:rsidR="007228E7" w:rsidRPr="0067796E" w:rsidRDefault="007228E7" w:rsidP="0067796E">
      <w:pPr>
        <w:ind w:left="794"/>
        <w:rPr>
          <w:rFonts w:asciiTheme="minorHAnsi" w:hAnsiTheme="minorHAnsi"/>
        </w:rPr>
      </w:pPr>
    </w:p>
    <w:p w14:paraId="73F87F41" w14:textId="3059942D" w:rsidR="006B3BBD" w:rsidRPr="00CD3724" w:rsidRDefault="006B3BBD" w:rsidP="00A00142">
      <w:pPr>
        <w:ind w:left="720"/>
        <w:rPr>
          <w:rFonts w:asciiTheme="minorHAnsi" w:hAnsiTheme="minorHAnsi"/>
        </w:rPr>
      </w:pPr>
      <w:r w:rsidRPr="0067796E">
        <w:rPr>
          <w:rFonts w:asciiTheme="minorHAnsi" w:hAnsiTheme="minorHAnsi"/>
        </w:rPr>
        <w:t xml:space="preserve">All grant applicants submitting the EQ will be informed of the outcome of the EQ assessment and </w:t>
      </w:r>
      <w:r w:rsidRPr="00CD3724">
        <w:rPr>
          <w:rFonts w:asciiTheme="minorHAnsi" w:hAnsiTheme="minorHAnsi"/>
        </w:rPr>
        <w:t xml:space="preserve">next steps by </w:t>
      </w:r>
      <w:r w:rsidRPr="00CD3724">
        <w:rPr>
          <w:rFonts w:asciiTheme="minorHAnsi" w:hAnsiTheme="minorHAnsi"/>
          <w:b/>
        </w:rPr>
        <w:t>5pm</w:t>
      </w:r>
      <w:r w:rsidR="001F5734" w:rsidRPr="00CD3724">
        <w:rPr>
          <w:rFonts w:asciiTheme="minorHAnsi" w:hAnsiTheme="minorHAnsi"/>
          <w:b/>
        </w:rPr>
        <w:t xml:space="preserve"> </w:t>
      </w:r>
      <w:r w:rsidR="00A00142" w:rsidRPr="00CD3724">
        <w:rPr>
          <w:rFonts w:asciiTheme="minorHAnsi" w:hAnsiTheme="minorHAnsi"/>
          <w:b/>
        </w:rPr>
        <w:t>Monday</w:t>
      </w:r>
      <w:r w:rsidR="00CD3724" w:rsidRPr="00CD3724">
        <w:rPr>
          <w:rFonts w:asciiTheme="minorHAnsi" w:hAnsiTheme="minorHAnsi"/>
          <w:b/>
        </w:rPr>
        <w:t xml:space="preserve"> 22</w:t>
      </w:r>
      <w:r w:rsidR="00CB3F92" w:rsidRPr="00CD3724">
        <w:rPr>
          <w:rFonts w:asciiTheme="minorHAnsi" w:hAnsiTheme="minorHAnsi"/>
          <w:b/>
        </w:rPr>
        <w:t xml:space="preserve"> October 2018</w:t>
      </w:r>
      <w:r w:rsidR="00CD3724">
        <w:rPr>
          <w:rFonts w:asciiTheme="minorHAnsi" w:hAnsiTheme="minorHAnsi"/>
          <w:b/>
        </w:rPr>
        <w:t>.</w:t>
      </w:r>
    </w:p>
    <w:p w14:paraId="0B269CC4" w14:textId="77777777" w:rsidR="007228E7" w:rsidRPr="0067796E" w:rsidRDefault="007228E7" w:rsidP="0067796E">
      <w:pPr>
        <w:ind w:left="794"/>
        <w:rPr>
          <w:rFonts w:asciiTheme="minorHAnsi" w:hAnsiTheme="minorHAnsi"/>
        </w:rPr>
      </w:pPr>
    </w:p>
    <w:p w14:paraId="1F36CC10" w14:textId="77777777" w:rsidR="006B3BBD" w:rsidRPr="0067796E" w:rsidRDefault="006B3BBD" w:rsidP="0067796E">
      <w:pPr>
        <w:ind w:left="397" w:firstLine="397"/>
        <w:rPr>
          <w:rFonts w:asciiTheme="minorHAnsi" w:hAnsiTheme="minorHAnsi"/>
          <w:b/>
          <w:sz w:val="28"/>
          <w:szCs w:val="28"/>
          <w:u w:val="single"/>
        </w:rPr>
      </w:pPr>
      <w:r w:rsidRPr="0067796E">
        <w:rPr>
          <w:rFonts w:asciiTheme="minorHAnsi" w:hAnsiTheme="minorHAnsi"/>
          <w:b/>
          <w:sz w:val="28"/>
          <w:szCs w:val="28"/>
          <w:u w:val="single"/>
        </w:rPr>
        <w:t>Stage 2: Completing the full application</w:t>
      </w:r>
    </w:p>
    <w:p w14:paraId="67C99917" w14:textId="77777777" w:rsidR="007228E7" w:rsidRPr="0067796E" w:rsidRDefault="007228E7" w:rsidP="0067796E">
      <w:pPr>
        <w:ind w:left="397" w:firstLine="397"/>
        <w:rPr>
          <w:rFonts w:asciiTheme="minorHAnsi" w:hAnsiTheme="minorHAnsi"/>
          <w:b/>
          <w:sz w:val="28"/>
          <w:szCs w:val="28"/>
        </w:rPr>
      </w:pPr>
    </w:p>
    <w:p w14:paraId="143F4793" w14:textId="77777777" w:rsidR="006B3BBD" w:rsidRDefault="006B3BBD" w:rsidP="0067796E">
      <w:pPr>
        <w:ind w:left="794"/>
        <w:rPr>
          <w:rFonts w:asciiTheme="minorHAnsi" w:eastAsia="Arial" w:hAnsiTheme="minorHAnsi" w:cs="Arial"/>
        </w:rPr>
      </w:pPr>
      <w:r w:rsidRPr="0067796E">
        <w:rPr>
          <w:rFonts w:asciiTheme="minorHAnsi" w:eastAsia="Arial" w:hAnsiTheme="minorHAnsi" w:cs="Arial"/>
        </w:rPr>
        <w:t>All those successful at stage 1 will be invited to submit a full application.  If required, 1-2-1 support will be provided to grant applicants by the Programme Manager.</w:t>
      </w:r>
    </w:p>
    <w:p w14:paraId="3C03005D" w14:textId="77777777" w:rsidR="007228E7" w:rsidRPr="0067796E" w:rsidRDefault="007228E7" w:rsidP="0067796E">
      <w:pPr>
        <w:ind w:left="794"/>
        <w:rPr>
          <w:rFonts w:asciiTheme="minorHAnsi" w:eastAsia="Arial" w:hAnsiTheme="minorHAnsi" w:cs="Arial"/>
        </w:rPr>
      </w:pPr>
    </w:p>
    <w:p w14:paraId="5AA989FF" w14:textId="7523E076" w:rsidR="006B3BBD" w:rsidRPr="00CD3724" w:rsidRDefault="006B3BBD" w:rsidP="0067796E">
      <w:pPr>
        <w:ind w:left="397" w:firstLine="397"/>
        <w:rPr>
          <w:rFonts w:asciiTheme="minorHAnsi" w:eastAsia="Calibri" w:hAnsiTheme="minorHAnsi" w:cs="Arial"/>
          <w:b/>
        </w:rPr>
      </w:pPr>
      <w:r w:rsidRPr="00CD3724">
        <w:rPr>
          <w:rFonts w:asciiTheme="minorHAnsi" w:eastAsia="Calibri" w:hAnsiTheme="minorHAnsi" w:cs="Arial"/>
          <w:b/>
        </w:rPr>
        <w:t xml:space="preserve">The submission date for the Full Application is 5pm </w:t>
      </w:r>
      <w:r w:rsidR="008304CE" w:rsidRPr="00CD3724">
        <w:rPr>
          <w:rFonts w:asciiTheme="minorHAnsi" w:eastAsia="Calibri" w:hAnsiTheme="minorHAnsi" w:cs="Arial"/>
          <w:b/>
        </w:rPr>
        <w:t>Friday 16 November 2018</w:t>
      </w:r>
      <w:r w:rsidRPr="00CD3724">
        <w:rPr>
          <w:rFonts w:asciiTheme="minorHAnsi" w:eastAsia="Calibri" w:hAnsiTheme="minorHAnsi" w:cs="Arial"/>
          <w:b/>
        </w:rPr>
        <w:t>.</w:t>
      </w:r>
    </w:p>
    <w:p w14:paraId="5A31D709" w14:textId="77777777" w:rsidR="007228E7" w:rsidRPr="0067796E" w:rsidRDefault="007228E7" w:rsidP="0067796E">
      <w:pPr>
        <w:ind w:left="397" w:firstLine="397"/>
        <w:rPr>
          <w:rFonts w:asciiTheme="minorHAnsi" w:eastAsia="Calibri" w:hAnsiTheme="minorHAnsi" w:cs="Arial"/>
          <w:b/>
        </w:rPr>
      </w:pPr>
    </w:p>
    <w:p w14:paraId="351FF34C" w14:textId="77777777"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After the submission of the Full Application the CLLD Project Assessor will undertake an appraisal of the application and make recommendations to the Local Action Group, which will make decision recommendations to the Accountable Body. </w:t>
      </w:r>
    </w:p>
    <w:p w14:paraId="25C58786" w14:textId="43FCA7A2" w:rsidR="006B3BBD" w:rsidRPr="00CD3724" w:rsidRDefault="006B3BBD" w:rsidP="0067796E">
      <w:pPr>
        <w:autoSpaceDE w:val="0"/>
        <w:autoSpaceDN w:val="0"/>
        <w:adjustRightInd w:val="0"/>
        <w:spacing w:after="120"/>
        <w:ind w:left="794"/>
        <w:jc w:val="both"/>
        <w:rPr>
          <w:rFonts w:asciiTheme="minorHAnsi" w:hAnsiTheme="minorHAnsi"/>
        </w:rPr>
      </w:pPr>
      <w:r w:rsidRPr="00CD3724">
        <w:rPr>
          <w:rFonts w:asciiTheme="minorHAnsi" w:hAnsiTheme="minorHAnsi"/>
        </w:rPr>
        <w:t>All grant applicants will be informed o</w:t>
      </w:r>
      <w:r w:rsidR="00A00142" w:rsidRPr="00CD3724">
        <w:rPr>
          <w:rFonts w:asciiTheme="minorHAnsi" w:hAnsiTheme="minorHAnsi"/>
        </w:rPr>
        <w:t>f the decision and next steps in</w:t>
      </w:r>
      <w:r w:rsidRPr="00CD3724">
        <w:rPr>
          <w:rFonts w:asciiTheme="minorHAnsi" w:hAnsiTheme="minorHAnsi"/>
        </w:rPr>
        <w:t xml:space="preserve"> </w:t>
      </w:r>
      <w:r w:rsidR="00A00142" w:rsidRPr="00CD3724">
        <w:rPr>
          <w:rFonts w:asciiTheme="minorHAnsi" w:hAnsiTheme="minorHAnsi"/>
          <w:b/>
        </w:rPr>
        <w:t>January 2019</w:t>
      </w:r>
      <w:r w:rsidRPr="00CD3724">
        <w:rPr>
          <w:rFonts w:asciiTheme="minorHAnsi" w:hAnsiTheme="minorHAnsi"/>
        </w:rPr>
        <w:t>.</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4BD7C3FB" w:rsidR="006B3BBD" w:rsidRPr="0067796E" w:rsidRDefault="006B3BBD" w:rsidP="0067796E">
      <w:pPr>
        <w:autoSpaceDE w:val="0"/>
        <w:autoSpaceDN w:val="0"/>
        <w:adjustRightInd w:val="0"/>
        <w:spacing w:after="120"/>
        <w:ind w:left="794" w:right="-48"/>
        <w:jc w:val="both"/>
        <w:rPr>
          <w:rFonts w:asciiTheme="minorHAnsi" w:hAnsiTheme="minorHAnsi"/>
        </w:rPr>
      </w:pPr>
      <w:r w:rsidRPr="0067796E">
        <w:rPr>
          <w:rFonts w:asciiTheme="minorHAnsi" w:hAnsiTheme="minorHAnsi"/>
        </w:rPr>
        <w:t>Grant applications will be assessed against t</w:t>
      </w:r>
      <w:r w:rsidR="00AE43E2">
        <w:rPr>
          <w:rFonts w:asciiTheme="minorHAnsi" w:hAnsiTheme="minorHAnsi"/>
        </w:rPr>
        <w:t>he agreed criteria by the CLLD P</w:t>
      </w:r>
      <w:r w:rsidRPr="0067796E">
        <w:rPr>
          <w:rFonts w:asciiTheme="minorHAnsi" w:hAnsiTheme="minorHAnsi"/>
        </w:rPr>
        <w:t xml:space="preserve">rogramme </w:t>
      </w:r>
      <w:r w:rsidR="00AE43E2">
        <w:rPr>
          <w:rFonts w:asciiTheme="minorHAnsi" w:hAnsiTheme="minorHAnsi"/>
        </w:rPr>
        <w:t>M</w:t>
      </w:r>
      <w:r w:rsidRPr="0067796E">
        <w:rPr>
          <w:rFonts w:asciiTheme="minorHAnsi" w:hAnsiTheme="minorHAnsi"/>
        </w:rPr>
        <w:t>anagement team who will prepare a recommendation report for the Local Action Group (LAG).  The criteria reflect the eligibility criteria set out in ERDF national eligibility rules and in the Grant Manual.</w:t>
      </w:r>
    </w:p>
    <w:p w14:paraId="0E8233B7" w14:textId="6D610ACF" w:rsidR="006B3BBD" w:rsidRPr="00A30BA3" w:rsidRDefault="006B3BBD" w:rsidP="00A30BA3">
      <w:pPr>
        <w:autoSpaceDE w:val="0"/>
        <w:autoSpaceDN w:val="0"/>
        <w:adjustRightInd w:val="0"/>
        <w:spacing w:after="120"/>
        <w:ind w:left="794" w:right="-48"/>
        <w:jc w:val="both"/>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Reference (available on </w:t>
      </w:r>
      <w:hyperlink r:id="rId16" w:history="1">
        <w:r w:rsidR="00A30BA3" w:rsidRPr="00024DD6">
          <w:rPr>
            <w:rStyle w:val="Hyperlink"/>
          </w:rPr>
          <w:t>www.folkestonecomm</w:t>
        </w:r>
        <w:r w:rsidR="00A30BA3" w:rsidRPr="00024DD6">
          <w:rPr>
            <w:rStyle w:val="Hyperlink"/>
          </w:rPr>
          <w:t>u</w:t>
        </w:r>
        <w:r w:rsidR="00A30BA3" w:rsidRPr="00024DD6">
          <w:rPr>
            <w:rStyle w:val="Hyperlink"/>
          </w:rPr>
          <w:t>nity.works</w:t>
        </w:r>
      </w:hyperlink>
      <w:r w:rsidRPr="0067796E">
        <w:rPr>
          <w:rFonts w:asciiTheme="minorHAnsi" w:hAnsiTheme="minorHAnsi"/>
        </w:rPr>
        <w:t>). Grant applicants may be invited to attend the LAG meeting to answer questions about the project and the LAG might chose to invite an expert to provide advice.</w:t>
      </w:r>
    </w:p>
    <w:p w14:paraId="3406BEA2" w14:textId="0E76D654"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77777777" w:rsidR="006B3BBD" w:rsidRPr="00CD3724" w:rsidRDefault="006B3BBD" w:rsidP="0067796E">
      <w:pPr>
        <w:autoSpaceDE w:val="0"/>
        <w:autoSpaceDN w:val="0"/>
        <w:adjustRightInd w:val="0"/>
        <w:spacing w:after="120"/>
        <w:ind w:left="794"/>
        <w:jc w:val="both"/>
        <w:rPr>
          <w:rFonts w:asciiTheme="minorHAnsi" w:hAnsiTheme="minorHAnsi"/>
        </w:rPr>
      </w:pPr>
      <w:r w:rsidRPr="00CD3724">
        <w:rPr>
          <w:rFonts w:asciiTheme="minorHAnsi" w:hAnsiTheme="minorHAnsi"/>
        </w:rPr>
        <w:t xml:space="preserve">All Grant applicants will be notified of the decision within 10 working days following the formal decision by the accountable body. </w:t>
      </w:r>
    </w:p>
    <w:p w14:paraId="110639B1" w14:textId="77777777" w:rsidR="006B3BBD" w:rsidRPr="0067796E" w:rsidRDefault="006B3BBD" w:rsidP="0067796E">
      <w:pPr>
        <w:autoSpaceDE w:val="0"/>
        <w:autoSpaceDN w:val="0"/>
        <w:adjustRightInd w:val="0"/>
        <w:spacing w:after="120"/>
        <w:ind w:left="794"/>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008FA49"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250AB0D9" w:rsidR="007228E7" w:rsidRPr="0067796E" w:rsidRDefault="007228E7" w:rsidP="0067796E">
      <w:pPr>
        <w:ind w:left="720"/>
        <w:rPr>
          <w:rFonts w:asciiTheme="minorHAnsi" w:hAnsiTheme="minorHAnsi"/>
        </w:rPr>
      </w:pPr>
      <w:r w:rsidRPr="0067796E">
        <w:rPr>
          <w:rFonts w:asciiTheme="minorHAnsi" w:hAnsiTheme="minorHAnsi"/>
        </w:rPr>
        <w:t xml:space="preserve">The </w:t>
      </w:r>
      <w:r w:rsidR="000A6641">
        <w:rPr>
          <w:rFonts w:asciiTheme="minorHAnsi" w:hAnsiTheme="minorHAnsi"/>
        </w:rPr>
        <w:t>P</w:t>
      </w:r>
      <w:r w:rsidRPr="0067796E">
        <w:rPr>
          <w:rFonts w:asciiTheme="minorHAnsi" w:hAnsiTheme="minorHAnsi"/>
        </w:rPr>
        <w:t xml:space="preserve">rogramme </w:t>
      </w:r>
      <w:r w:rsidR="000A6641">
        <w:rPr>
          <w:rFonts w:asciiTheme="minorHAnsi" w:hAnsiTheme="minorHAnsi"/>
        </w:rPr>
        <w:t>M</w:t>
      </w:r>
      <w:r w:rsidRPr="0067796E">
        <w:rPr>
          <w:rFonts w:asciiTheme="minorHAnsi" w:hAnsiTheme="minorHAnsi"/>
        </w:rPr>
        <w:t>anagement 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0A6641">
        <w:rPr>
          <w:rFonts w:asciiTheme="minorHAnsi" w:hAnsiTheme="minorHAnsi"/>
        </w:rPr>
        <w:t xml:space="preserve"> </w:t>
      </w:r>
      <w:r w:rsidRPr="0067796E">
        <w:rPr>
          <w:rFonts w:asciiTheme="minorHAnsi" w:hAnsiTheme="minorHAnsi"/>
        </w:rPr>
        <w:t xml:space="preserve">Visits to each project applicant will be made by the </w:t>
      </w:r>
      <w:r w:rsidR="000A6641">
        <w:rPr>
          <w:rFonts w:asciiTheme="minorHAnsi" w:hAnsiTheme="minorHAnsi"/>
        </w:rPr>
        <w:t>P</w:t>
      </w:r>
      <w:r w:rsidRPr="0067796E">
        <w:rPr>
          <w:rFonts w:asciiTheme="minorHAnsi" w:hAnsiTheme="minorHAnsi"/>
        </w:rPr>
        <w:t xml:space="preserve">rogramme </w:t>
      </w:r>
      <w:r w:rsidR="000A6641">
        <w:rPr>
          <w:rFonts w:asciiTheme="minorHAnsi" w:hAnsiTheme="minorHAnsi"/>
        </w:rPr>
        <w:t>M</w:t>
      </w:r>
      <w:r w:rsidRPr="0067796E">
        <w:rPr>
          <w:rFonts w:asciiTheme="minorHAnsi" w:hAnsiTheme="minorHAnsi"/>
        </w:rPr>
        <w:t>anagement team 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289162CB"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grant holder</w:t>
      </w:r>
      <w:r w:rsidRPr="0067796E">
        <w:rPr>
          <w:rFonts w:asciiTheme="minorHAnsi" w:hAnsiTheme="minorHAnsi"/>
        </w:rPr>
        <w:t xml:space="preserve"> will be able to commence the project as speci</w:t>
      </w:r>
      <w:r w:rsidR="001F5734">
        <w:rPr>
          <w:rFonts w:asciiTheme="minorHAnsi" w:hAnsiTheme="minorHAnsi"/>
        </w:rPr>
        <w:t>fied in the Funding Agreement.</w:t>
      </w:r>
    </w:p>
    <w:p w14:paraId="231D1431" w14:textId="77777777" w:rsidR="007228E7" w:rsidRPr="0067796E" w:rsidRDefault="007228E7" w:rsidP="0067796E">
      <w:pPr>
        <w:ind w:left="720"/>
        <w:rPr>
          <w:rFonts w:asciiTheme="minorHAnsi" w:hAnsiTheme="minorHAnsi"/>
        </w:rPr>
      </w:pPr>
    </w:p>
    <w:p w14:paraId="4EE7C693" w14:textId="2E358D3E" w:rsidR="007228E7" w:rsidRPr="0067796E" w:rsidRDefault="007228E7" w:rsidP="0067796E">
      <w:pPr>
        <w:pStyle w:val="Header"/>
        <w:ind w:left="720"/>
        <w:rPr>
          <w:rFonts w:asciiTheme="minorHAnsi" w:hAnsiTheme="minorHAnsi"/>
        </w:rPr>
      </w:pPr>
      <w:r w:rsidRPr="0067796E">
        <w:rPr>
          <w:rFonts w:asciiTheme="minorHAnsi" w:hAnsiTheme="minorHAnsi"/>
        </w:rPr>
        <w:t xml:space="preserve">Upon returning on the completed Funding Agreement, details of the </w:t>
      </w:r>
      <w:r w:rsidR="005C42E3">
        <w:rPr>
          <w:rFonts w:asciiTheme="minorHAnsi" w:hAnsiTheme="minorHAnsi"/>
        </w:rPr>
        <w:t>grant holder</w:t>
      </w:r>
      <w:r w:rsidRPr="0067796E">
        <w:rPr>
          <w:rFonts w:asciiTheme="minorHAnsi" w:hAnsiTheme="minorHAnsi"/>
        </w:rPr>
        <w:t xml:space="preserve"> will be entered into an Electronic Form so that payments can be set up for payment</w:t>
      </w:r>
      <w:r w:rsidR="001F5734">
        <w:rPr>
          <w:rFonts w:asciiTheme="minorHAnsi" w:hAnsiTheme="minorHAnsi"/>
        </w:rPr>
        <w:t xml:space="preserve"> through the financial system.</w:t>
      </w:r>
    </w:p>
    <w:p w14:paraId="1EDE5777" w14:textId="6E653E55" w:rsidR="007228E7" w:rsidRPr="0067796E" w:rsidRDefault="007228E7" w:rsidP="0067796E">
      <w:pPr>
        <w:rPr>
          <w:rFonts w:asciiTheme="minorHAnsi" w:hAnsiTheme="minorHAnsi"/>
        </w:rPr>
      </w:pP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B1CC2A5" w:rsidR="002650CD" w:rsidRDefault="001321A1" w:rsidP="002650CD">
      <w:pPr>
        <w:ind w:left="720"/>
        <w:rPr>
          <w:rFonts w:asciiTheme="minorHAnsi" w:hAnsiTheme="minorHAnsi"/>
        </w:rPr>
      </w:pPr>
      <w:r>
        <w:rPr>
          <w:rFonts w:asciiTheme="minorHAnsi" w:hAnsiTheme="minorHAnsi"/>
        </w:rPr>
        <w:t>Grant holders</w:t>
      </w:r>
      <w:r w:rsidR="007228E7" w:rsidRPr="0067796E">
        <w:rPr>
          <w:rFonts w:asciiTheme="minorHAnsi" w:hAnsiTheme="minorHAnsi"/>
        </w:rPr>
        <w:t xml:space="preserve"> will be required to utilise the electronic template 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including financial claims and to submit this along with the required evidence to support each claim. The project grant forms are available in electronic form and can be downloaded from </w:t>
      </w:r>
      <w:hyperlink r:id="rId17" w:history="1">
        <w:r w:rsidR="002650CD" w:rsidRPr="00024DD6">
          <w:rPr>
            <w:rStyle w:val="Hyperlink"/>
            <w:rFonts w:asciiTheme="minorHAnsi" w:hAnsiTheme="minorHAnsi"/>
          </w:rPr>
          <w:t>www.folkestonecommunity.works</w:t>
        </w:r>
      </w:hyperlink>
      <w:r w:rsidR="002650CD">
        <w:rPr>
          <w:rFonts w:asciiTheme="minorHAnsi" w:hAnsiTheme="minorHAnsi"/>
        </w:rPr>
        <w:t xml:space="preserve"> </w:t>
      </w:r>
    </w:p>
    <w:p w14:paraId="72D3BFCC" w14:textId="77777777" w:rsidR="007228E7" w:rsidRPr="0067796E" w:rsidRDefault="007228E7" w:rsidP="0067796E">
      <w:pPr>
        <w:ind w:left="720"/>
        <w:rPr>
          <w:rFonts w:asciiTheme="minorHAnsi" w:hAnsiTheme="minorHAnsi"/>
        </w:rPr>
      </w:pPr>
    </w:p>
    <w:p w14:paraId="57B44BCD" w14:textId="7DB3A7A1" w:rsidR="007228E7" w:rsidRPr="0067796E" w:rsidRDefault="007228E7" w:rsidP="0067796E">
      <w:pPr>
        <w:ind w:left="720"/>
        <w:rPr>
          <w:rFonts w:asciiTheme="minorHAnsi" w:hAnsiTheme="minorHAnsi"/>
        </w:rPr>
      </w:pPr>
      <w:r w:rsidRPr="0067796E">
        <w:rPr>
          <w:rFonts w:asciiTheme="minorHAnsi" w:hAnsiTheme="minorHAnsi"/>
        </w:rPr>
        <w:t xml:space="preserve">Each </w:t>
      </w:r>
      <w:r w:rsidR="005C42E3">
        <w:rPr>
          <w:rFonts w:asciiTheme="minorHAnsi" w:hAnsiTheme="minorHAnsi"/>
        </w:rPr>
        <w:t>grant</w:t>
      </w:r>
      <w:r w:rsidRPr="0067796E">
        <w:rPr>
          <w:rFonts w:asciiTheme="minorHAnsi" w:hAnsiTheme="minorHAnsi"/>
        </w:rPr>
        <w:t xml:space="preserve"> claim will be paid in accordance with the details set out in the Grant Funding </w:t>
      </w:r>
      <w:r w:rsidR="000A6641">
        <w:rPr>
          <w:rFonts w:asciiTheme="minorHAnsi" w:hAnsiTheme="minorHAnsi"/>
        </w:rPr>
        <w:t>A</w:t>
      </w:r>
      <w:r w:rsidRPr="0067796E">
        <w:rPr>
          <w:rFonts w:asciiTheme="minorHAnsi" w:hAnsiTheme="minorHAnsi"/>
        </w:rPr>
        <w:t>greement where:</w:t>
      </w:r>
    </w:p>
    <w:p w14:paraId="5DCEC402" w14:textId="7032D175" w:rsidR="007228E7" w:rsidRPr="0067796E" w:rsidRDefault="007228E7" w:rsidP="006D179B">
      <w:pPr>
        <w:pStyle w:val="ListParagraph"/>
        <w:numPr>
          <w:ilvl w:val="0"/>
          <w:numId w:val="32"/>
        </w:numPr>
        <w:ind w:left="1440"/>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grant holder</w:t>
      </w:r>
      <w:r w:rsidR="000A6641">
        <w:rPr>
          <w:rFonts w:asciiTheme="minorHAnsi" w:hAnsiTheme="minorHAnsi"/>
        </w:rPr>
        <w:t>;</w:t>
      </w:r>
    </w:p>
    <w:p w14:paraId="60427BAF" w14:textId="07550182" w:rsidR="007228E7" w:rsidRPr="0067796E" w:rsidRDefault="007228E7" w:rsidP="006D179B">
      <w:pPr>
        <w:pStyle w:val="ListParagraph"/>
        <w:numPr>
          <w:ilvl w:val="0"/>
          <w:numId w:val="32"/>
        </w:numPr>
        <w:ind w:left="1440"/>
        <w:rPr>
          <w:rFonts w:asciiTheme="minorHAnsi" w:hAnsiTheme="minorHAnsi"/>
        </w:rPr>
      </w:pPr>
      <w:r w:rsidRPr="0067796E">
        <w:rPr>
          <w:rFonts w:asciiTheme="minorHAnsi" w:hAnsiTheme="minorHAnsi"/>
        </w:rPr>
        <w:t>The Grant Claim is for Eligible</w:t>
      </w:r>
      <w:r w:rsidR="000A6641">
        <w:rPr>
          <w:rFonts w:asciiTheme="minorHAnsi" w:hAnsiTheme="minorHAnsi"/>
        </w:rPr>
        <w:t xml:space="preserve"> Expenditure and is in arrears;</w:t>
      </w:r>
    </w:p>
    <w:p w14:paraId="718FC52F" w14:textId="7D080280" w:rsidR="007228E7" w:rsidRPr="0067796E" w:rsidRDefault="007228E7" w:rsidP="006D179B">
      <w:pPr>
        <w:pStyle w:val="ListParagraph"/>
        <w:numPr>
          <w:ilvl w:val="0"/>
          <w:numId w:val="32"/>
        </w:numPr>
        <w:ind w:left="1440"/>
        <w:rPr>
          <w:rFonts w:asciiTheme="minorHAnsi" w:hAnsiTheme="minorHAnsi"/>
        </w:rPr>
      </w:pPr>
      <w:r w:rsidRPr="0067796E">
        <w:rPr>
          <w:rFonts w:asciiTheme="minorHAnsi" w:hAnsiTheme="minorHAnsi"/>
        </w:rPr>
        <w:t>The payment of the Grant related to actual costs incurred with required evidence submi</w:t>
      </w:r>
      <w:r w:rsidR="000A6641">
        <w:rPr>
          <w:rFonts w:asciiTheme="minorHAnsi" w:hAnsiTheme="minorHAnsi"/>
        </w:rPr>
        <w:t>tted to substantiate the claim;</w:t>
      </w:r>
    </w:p>
    <w:p w14:paraId="338C8965" w14:textId="511C5FCB" w:rsidR="007228E7" w:rsidRPr="0067796E" w:rsidRDefault="007228E7" w:rsidP="006D179B">
      <w:pPr>
        <w:pStyle w:val="ListParagraph"/>
        <w:numPr>
          <w:ilvl w:val="0"/>
          <w:numId w:val="32"/>
        </w:numPr>
        <w:ind w:left="1440"/>
        <w:rPr>
          <w:rFonts w:asciiTheme="minorHAnsi" w:hAnsiTheme="minorHAnsi"/>
        </w:rPr>
      </w:pPr>
      <w:r w:rsidRPr="0067796E">
        <w:rPr>
          <w:rFonts w:asciiTheme="minorHAnsi" w:hAnsiTheme="minorHAnsi"/>
        </w:rPr>
        <w:t>The required evidence of receipt of the required match funding, as detailed in th</w:t>
      </w:r>
      <w:r w:rsidR="0048536F">
        <w:rPr>
          <w:rFonts w:asciiTheme="minorHAnsi" w:hAnsiTheme="minorHAnsi"/>
        </w:rPr>
        <w:t>e Gra</w:t>
      </w:r>
      <w:r w:rsidR="000A6641">
        <w:rPr>
          <w:rFonts w:asciiTheme="minorHAnsi" w:hAnsiTheme="minorHAnsi"/>
        </w:rPr>
        <w:t>nt Agreement, is provided;</w:t>
      </w:r>
    </w:p>
    <w:p w14:paraId="317FC222" w14:textId="77777777" w:rsidR="007228E7" w:rsidRPr="0067796E" w:rsidRDefault="007228E7" w:rsidP="006D179B">
      <w:pPr>
        <w:pStyle w:val="ListParagraph"/>
        <w:numPr>
          <w:ilvl w:val="0"/>
          <w:numId w:val="32"/>
        </w:numPr>
        <w:ind w:left="1440"/>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58992E36" w:rsidR="007228E7" w:rsidRPr="0067796E" w:rsidRDefault="005C42E3" w:rsidP="0067796E">
      <w:pPr>
        <w:ind w:left="720"/>
        <w:rPr>
          <w:rFonts w:asciiTheme="minorHAnsi" w:hAnsiTheme="minorHAnsi"/>
        </w:rPr>
      </w:pPr>
      <w:r>
        <w:rPr>
          <w:rFonts w:asciiTheme="minorHAnsi" w:hAnsiTheme="minorHAnsi"/>
        </w:rPr>
        <w:t>The grant holder</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each quarter:</w:t>
      </w:r>
    </w:p>
    <w:p w14:paraId="1A58C4E2"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A detailed transaction report from their financial system showing payment amount, date, recipient and payment reference.</w:t>
      </w:r>
    </w:p>
    <w:p w14:paraId="5A85C1AE"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A bank statement 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For 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quotes/tender and other documentation complying with ESIF procurement requirements</w:t>
      </w:r>
    </w:p>
    <w:p w14:paraId="121EF7E3"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receipt of goods</w:t>
      </w:r>
    </w:p>
    <w:p w14:paraId="64763903"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remittance advice</w:t>
      </w:r>
    </w:p>
    <w:p w14:paraId="1D7EBC39"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timesheets</w:t>
      </w:r>
    </w:p>
    <w:p w14:paraId="2207993F"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bank statements showing payment</w:t>
      </w:r>
    </w:p>
    <w:p w14:paraId="188EC4C1" w14:textId="77777777" w:rsidR="007228E7" w:rsidRPr="0067796E" w:rsidRDefault="007228E7" w:rsidP="006D179B">
      <w:pPr>
        <w:pStyle w:val="ListParagraph"/>
        <w:numPr>
          <w:ilvl w:val="0"/>
          <w:numId w:val="33"/>
        </w:numPr>
        <w:ind w:left="1440"/>
        <w:rPr>
          <w:rFonts w:asciiTheme="minorHAnsi" w:hAnsiTheme="minorHAnsi"/>
        </w:rPr>
      </w:pPr>
      <w:r w:rsidRPr="0067796E">
        <w:rPr>
          <w:rFonts w:asciiTheme="minorHAnsi" w:hAnsiTheme="minorHAnsi"/>
        </w:rPr>
        <w:t>any other evidence of defrayal for expenditures related to the match funding and the grant</w:t>
      </w:r>
    </w:p>
    <w:p w14:paraId="381EE2CD" w14:textId="77777777" w:rsidR="007228E7" w:rsidRPr="0067796E" w:rsidRDefault="007228E7" w:rsidP="0067796E">
      <w:pPr>
        <w:ind w:left="720"/>
        <w:rPr>
          <w:rFonts w:asciiTheme="minorHAnsi" w:hAnsiTheme="minorHAnsi"/>
        </w:rPr>
      </w:pPr>
    </w:p>
    <w:p w14:paraId="6ABE213C" w14:textId="73B884B4" w:rsidR="007228E7" w:rsidRPr="0067796E" w:rsidRDefault="007228E7" w:rsidP="0067796E">
      <w:pPr>
        <w:ind w:left="720"/>
        <w:rPr>
          <w:rFonts w:asciiTheme="minorHAnsi" w:hAnsiTheme="minorHAnsi"/>
        </w:rPr>
      </w:pPr>
      <w:r w:rsidRPr="0067796E">
        <w:rPr>
          <w:rFonts w:asciiTheme="minorHAnsi" w:hAnsiTheme="minorHAnsi"/>
        </w:rPr>
        <w:t xml:space="preserve">Each </w:t>
      </w:r>
      <w:r w:rsidR="001321A1">
        <w:rPr>
          <w:rFonts w:asciiTheme="minorHAnsi" w:hAnsiTheme="minorHAnsi"/>
        </w:rPr>
        <w:t xml:space="preserve">grant claim </w:t>
      </w:r>
      <w:r w:rsidRPr="0067796E">
        <w:rPr>
          <w:rFonts w:asciiTheme="minorHAnsi" w:hAnsiTheme="minorHAnsi"/>
        </w:rPr>
        <w:t xml:space="preserve">will be checked for expenditure eligibility by the </w:t>
      </w:r>
      <w:r w:rsidR="000A6641">
        <w:rPr>
          <w:rFonts w:asciiTheme="minorHAnsi" w:hAnsiTheme="minorHAnsi"/>
        </w:rPr>
        <w:t>P</w:t>
      </w:r>
      <w:r w:rsidRPr="0067796E">
        <w:rPr>
          <w:rFonts w:asciiTheme="minorHAnsi" w:hAnsiTheme="minorHAnsi"/>
        </w:rPr>
        <w:t xml:space="preserve">rogramme </w:t>
      </w:r>
      <w:r w:rsidR="000A6641">
        <w:rPr>
          <w:rFonts w:asciiTheme="minorHAnsi" w:hAnsiTheme="minorHAnsi"/>
        </w:rPr>
        <w:t>M</w:t>
      </w:r>
      <w:r w:rsidRPr="0067796E">
        <w:rPr>
          <w:rFonts w:asciiTheme="minorHAnsi" w:hAnsiTheme="minorHAnsi"/>
        </w:rPr>
        <w:t>anagement team against bank statements, programme delivery records and budget profiles</w:t>
      </w:r>
      <w:r w:rsidR="005C42E3">
        <w:rPr>
          <w:rFonts w:asciiTheme="minorHAnsi" w:hAnsiTheme="minorHAnsi"/>
        </w:rPr>
        <w:t>.</w:t>
      </w:r>
    </w:p>
    <w:p w14:paraId="0601C9CF" w14:textId="77777777" w:rsidR="007228E7" w:rsidRPr="0067796E" w:rsidRDefault="007228E7" w:rsidP="0067796E">
      <w:pPr>
        <w:ind w:left="720"/>
        <w:rPr>
          <w:rFonts w:asciiTheme="minorHAnsi" w:hAnsiTheme="minorHAnsi"/>
        </w:rPr>
      </w:pPr>
    </w:p>
    <w:p w14:paraId="0DA7C15A" w14:textId="5339B5D4" w:rsidR="007228E7" w:rsidRPr="0067796E" w:rsidRDefault="007228E7" w:rsidP="0067796E">
      <w:pPr>
        <w:ind w:left="720"/>
        <w:rPr>
          <w:rFonts w:asciiTheme="minorHAnsi" w:hAnsiTheme="minorHAnsi"/>
        </w:rPr>
      </w:pPr>
      <w:r w:rsidRPr="0067796E">
        <w:rPr>
          <w:rFonts w:asciiTheme="minorHAnsi" w:hAnsiTheme="minorHAnsi"/>
        </w:rPr>
        <w:t xml:space="preserve">A procurement procedure check list </w:t>
      </w:r>
      <w:r w:rsidR="005C42E3">
        <w:rPr>
          <w:rFonts w:asciiTheme="minorHAnsi" w:hAnsiTheme="minorHAnsi"/>
        </w:rPr>
        <w:t>may</w:t>
      </w:r>
      <w:r w:rsidRPr="0067796E">
        <w:rPr>
          <w:rFonts w:asciiTheme="minorHAnsi" w:hAnsiTheme="minorHAnsi"/>
        </w:rPr>
        <w:t xml:space="preserve"> be used by the Programme Assistant to check that expenditures are in line with ESIF procurement guidelines (see Key Documents section). This check list </w:t>
      </w:r>
      <w:r w:rsidR="005C42E3">
        <w:rPr>
          <w:rFonts w:asciiTheme="minorHAnsi" w:hAnsiTheme="minorHAnsi"/>
        </w:rPr>
        <w:t>might</w:t>
      </w:r>
      <w:r w:rsidRPr="0067796E">
        <w:rPr>
          <w:rFonts w:asciiTheme="minorHAnsi" w:hAnsiTheme="minorHAnsi"/>
        </w:rPr>
        <w:t xml:space="preserve"> include, for example, such things as:</w:t>
      </w:r>
    </w:p>
    <w:p w14:paraId="77B14CAD"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checking that the expenditure is not part of a series of contracts that have been artificially divided;</w:t>
      </w:r>
    </w:p>
    <w:p w14:paraId="67D78582" w14:textId="0E632B32" w:rsidR="007228E7" w:rsidRPr="0067796E" w:rsidRDefault="00530CDB" w:rsidP="0067796E">
      <w:pPr>
        <w:pStyle w:val="ListParagraph"/>
        <w:numPr>
          <w:ilvl w:val="0"/>
          <w:numId w:val="34"/>
        </w:numPr>
        <w:rPr>
          <w:rFonts w:asciiTheme="minorHAnsi" w:hAnsiTheme="minorHAnsi"/>
        </w:rPr>
      </w:pPr>
      <w:r w:rsidRPr="0067796E">
        <w:rPr>
          <w:rFonts w:asciiTheme="minorHAnsi" w:hAnsiTheme="minorHAnsi"/>
        </w:rPr>
        <w:t>That</w:t>
      </w:r>
      <w:r w:rsidR="007228E7" w:rsidRPr="0067796E">
        <w:rPr>
          <w:rFonts w:asciiTheme="minorHAnsi" w:hAnsiTheme="minorHAnsi"/>
        </w:rPr>
        <w:t xml:space="preserve"> expenditures have been advertised on contracts finder if required; </w:t>
      </w:r>
      <w:r w:rsidRPr="0067796E">
        <w:rPr>
          <w:rFonts w:asciiTheme="minorHAnsi" w:hAnsiTheme="minorHAnsi"/>
        </w:rPr>
        <w:t>etc.</w:t>
      </w:r>
    </w:p>
    <w:p w14:paraId="25754D96"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For any project expenditures over £25 000, the Programme Manager will check thoroughly the evidence provided. The checks carried out will include making sure that the contracts haven’t been artificially divided and that the contract opportunity has been advertised on contracts finder. </w:t>
      </w:r>
    </w:p>
    <w:p w14:paraId="2A7F1162"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For contracts over £50 000, the Head of Economic Development will carry out a further check of all evidence, according to the procurement check list.</w:t>
      </w:r>
    </w:p>
    <w:p w14:paraId="61E656D9" w14:textId="4FD165B2"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The defrayal evidence submitted from each grant holder will need to be collated by the </w:t>
      </w:r>
      <w:r w:rsidR="005C42E3">
        <w:rPr>
          <w:rFonts w:asciiTheme="minorHAnsi" w:hAnsiTheme="minorHAnsi"/>
        </w:rPr>
        <w:t>grant holder</w:t>
      </w:r>
      <w:r w:rsidRPr="0067796E">
        <w:rPr>
          <w:rFonts w:asciiTheme="minorHAnsi" w:hAnsiTheme="minorHAnsi"/>
        </w:rPr>
        <w:t xml:space="preserve"> onto a Grant Claim Form, signed off by the grant holder, the Project Manager and countersigned by the Head of Economic Development. </w:t>
      </w:r>
    </w:p>
    <w:p w14:paraId="4F6E1BCE" w14:textId="7A512C7A"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Once approved, the dedicated finance officer for the Folkestone Commu</w:t>
      </w:r>
      <w:r w:rsidR="009931A1">
        <w:rPr>
          <w:rFonts w:asciiTheme="minorHAnsi" w:hAnsiTheme="minorHAnsi"/>
        </w:rPr>
        <w:t>nity Works programme at Folkestone &amp; Hythe</w:t>
      </w:r>
      <w:r w:rsidRPr="0067796E">
        <w:rPr>
          <w:rFonts w:asciiTheme="minorHAnsi" w:hAnsiTheme="minorHAnsi"/>
        </w:rPr>
        <w:t xml:space="preserve"> District Council will process the information into an order which the Accounts Payable team will then act on to pay the grant to the recipient. The order will be downloaded and stored alongside the Grant Claim Form; this will form part of the claim from the accountable body to the managing authority. All records will be maintained by the programme management team in accordance with ESIF requirements.</w:t>
      </w:r>
    </w:p>
    <w:p w14:paraId="46726A39" w14:textId="6DEE6DB5"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The Council will normally pay </w:t>
      </w:r>
      <w:r w:rsidR="001321A1">
        <w:rPr>
          <w:rFonts w:asciiTheme="minorHAnsi" w:hAnsiTheme="minorHAnsi"/>
        </w:rPr>
        <w:t xml:space="preserve">the </w:t>
      </w:r>
      <w:r w:rsidRPr="0067796E">
        <w:rPr>
          <w:rFonts w:asciiTheme="minorHAnsi" w:hAnsiTheme="minorHAnsi"/>
        </w:rPr>
        <w:t>Grant Claim within 25 Working Days of receipt, but this is subject to the grant recipient satisfactorily meeting any request for further particulars about the Eligible Expenditure and achievement of outputs in the Grant Claim.</w:t>
      </w:r>
    </w:p>
    <w:p w14:paraId="4266DB99" w14:textId="2339838F" w:rsidR="007228E7" w:rsidRDefault="007228E7" w:rsidP="0067796E">
      <w:pPr>
        <w:pStyle w:val="ListParagraph"/>
        <w:numPr>
          <w:ilvl w:val="0"/>
          <w:numId w:val="34"/>
        </w:numPr>
        <w:rPr>
          <w:rFonts w:asciiTheme="minorHAnsi" w:hAnsiTheme="minorHAnsi"/>
        </w:rPr>
      </w:pPr>
      <w:r w:rsidRPr="0067796E">
        <w:rPr>
          <w:rFonts w:asciiTheme="minorHAnsi" w:hAnsiTheme="minorHAnsi"/>
        </w:rPr>
        <w:t>Project and claim start and end dates will be carefully monitored and communicated to ensure that no expenditure outside the programme timeframe is submitted</w:t>
      </w:r>
      <w:r w:rsidR="001321A1">
        <w:rPr>
          <w:rFonts w:asciiTheme="minorHAnsi" w:hAnsiTheme="minorHAnsi"/>
        </w:rPr>
        <w:t>, unless previously agreed</w:t>
      </w:r>
      <w:r w:rsidRPr="0067796E">
        <w:rPr>
          <w:rFonts w:asciiTheme="minorHAnsi" w:hAnsiTheme="minorHAnsi"/>
        </w:rPr>
        <w:t xml:space="preserve">. </w:t>
      </w:r>
    </w:p>
    <w:p w14:paraId="390E7FFB" w14:textId="77777777" w:rsidR="00D217B1" w:rsidRPr="0067796E" w:rsidRDefault="00D217B1" w:rsidP="00D217B1">
      <w:pPr>
        <w:pStyle w:val="ListParagraph"/>
        <w:ind w:left="1440"/>
        <w:rPr>
          <w:rFonts w:asciiTheme="minorHAnsi" w:hAnsiTheme="minorHAnsi"/>
        </w:rPr>
      </w:pPr>
    </w:p>
    <w:p w14:paraId="56BB5048" w14:textId="6BE2CA79"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048CC628"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grant holder</w:t>
      </w:r>
      <w:r w:rsidRPr="0067796E">
        <w:rPr>
          <w:rFonts w:asciiTheme="minorHAnsi" w:hAnsiTheme="minorHAnsi"/>
        </w:rPr>
        <w:t>, in accordance with guidance laid out in the Grant Funding Agreement and this will include the retention rules.</w:t>
      </w:r>
    </w:p>
    <w:p w14:paraId="5D4591A1" w14:textId="77777777" w:rsidR="007228E7" w:rsidRPr="0067796E" w:rsidRDefault="007228E7" w:rsidP="0067796E">
      <w:pPr>
        <w:ind w:left="720"/>
        <w:rPr>
          <w:rFonts w:asciiTheme="minorHAnsi" w:hAnsiTheme="minorHAnsi"/>
        </w:rPr>
      </w:pPr>
    </w:p>
    <w:p w14:paraId="2B6A1CE0" w14:textId="3877F5EF" w:rsidR="007228E7" w:rsidRPr="0067796E" w:rsidRDefault="007228E7" w:rsidP="0067796E">
      <w:pPr>
        <w:ind w:left="720"/>
        <w:rPr>
          <w:rFonts w:asciiTheme="minorHAnsi" w:hAnsiTheme="minorHAnsi"/>
        </w:rPr>
      </w:pPr>
      <w:r w:rsidRPr="0067796E">
        <w:rPr>
          <w:rFonts w:asciiTheme="minorHAnsi" w:hAnsiTheme="minorHAnsi"/>
        </w:rPr>
        <w:t xml:space="preserve">Each grant holder will be responsible for maintaining the original documentation and transferring it to the programme management team </w:t>
      </w:r>
      <w:r w:rsidR="005C42E3">
        <w:rPr>
          <w:rFonts w:asciiTheme="minorHAnsi" w:hAnsiTheme="minorHAnsi"/>
        </w:rPr>
        <w:t>as specified in the Grant Funding Agreement.</w:t>
      </w:r>
    </w:p>
    <w:p w14:paraId="20E295B8" w14:textId="77777777" w:rsidR="007228E7" w:rsidRPr="0067796E" w:rsidRDefault="007228E7" w:rsidP="0067796E">
      <w:pPr>
        <w:ind w:left="720"/>
        <w:rPr>
          <w:rFonts w:asciiTheme="minorHAnsi" w:hAnsiTheme="minorHAnsi"/>
        </w:rPr>
      </w:pPr>
    </w:p>
    <w:p w14:paraId="2F966D3D" w14:textId="10C9F67D" w:rsidR="007228E7" w:rsidRPr="0067796E" w:rsidRDefault="007228E7" w:rsidP="0067796E">
      <w:pPr>
        <w:ind w:left="720"/>
        <w:rPr>
          <w:rFonts w:asciiTheme="minorHAnsi" w:hAnsi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grant holder</w:t>
      </w:r>
      <w:r w:rsidRPr="0067796E">
        <w:rPr>
          <w:rFonts w:asciiTheme="minorHAnsi" w:hAnsiTheme="minorHAnsi"/>
        </w:rPr>
        <w:t xml:space="preserve"> to provide this information to the </w:t>
      </w:r>
      <w:r w:rsidR="00DF6E2B">
        <w:rPr>
          <w:rFonts w:asciiTheme="minorHAnsi" w:hAnsiTheme="minorHAnsi"/>
        </w:rPr>
        <w:t>P</w:t>
      </w:r>
      <w:r w:rsidRPr="0067796E">
        <w:rPr>
          <w:rFonts w:asciiTheme="minorHAnsi" w:hAnsiTheme="minorHAnsi"/>
        </w:rPr>
        <w:t xml:space="preserve">rogramme </w:t>
      </w:r>
      <w:r w:rsidR="00DF6E2B">
        <w:rPr>
          <w:rFonts w:asciiTheme="minorHAnsi" w:hAnsiTheme="minorHAnsi"/>
        </w:rPr>
        <w:t>M</w:t>
      </w:r>
      <w:r w:rsidRPr="0067796E">
        <w:rPr>
          <w:rFonts w:asciiTheme="minorHAnsi" w:hAnsiTheme="minorHAnsi"/>
        </w:rPr>
        <w:t xml:space="preserve">anagement team. This register, which will be maintained by the grant holder and provided quarterly to the programme management team, will capture and show the following information:  </w:t>
      </w:r>
    </w:p>
    <w:p w14:paraId="38E99C3F" w14:textId="77777777" w:rsidR="007228E7" w:rsidRPr="00125283" w:rsidRDefault="007228E7" w:rsidP="007228E7">
      <w:pPr>
        <w:pStyle w:val="Header"/>
        <w:rPr>
          <w:rFonts w:ascii="Arial" w:hAnsi="Arial" w:cs="Arial"/>
        </w:rPr>
      </w:pPr>
    </w:p>
    <w:p w14:paraId="751BE39E"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Date of purchase </w:t>
      </w:r>
    </w:p>
    <w:p w14:paraId="49F81038" w14:textId="71D21F13"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Description of asset </w:t>
      </w:r>
      <w:r w:rsidR="0048536F">
        <w:rPr>
          <w:rFonts w:asciiTheme="minorHAnsi" w:hAnsiTheme="minorHAnsi" w:cs="Arial"/>
        </w:rPr>
        <w:t xml:space="preserve">and photograph </w:t>
      </w:r>
      <w:r w:rsidR="00227D84">
        <w:rPr>
          <w:rFonts w:asciiTheme="minorHAnsi" w:hAnsiTheme="minorHAnsi" w:cs="Arial"/>
        </w:rPr>
        <w:t xml:space="preserve">of </w:t>
      </w:r>
      <w:r w:rsidR="0048536F">
        <w:rPr>
          <w:rFonts w:asciiTheme="minorHAnsi" w:hAnsiTheme="minorHAnsi" w:cs="Arial"/>
        </w:rPr>
        <w:t>asset</w:t>
      </w:r>
    </w:p>
    <w:p w14:paraId="4C931CDE"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Type of asset (fixed or mobile) </w:t>
      </w:r>
    </w:p>
    <w:p w14:paraId="42C75966"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Price paid net of recoverable VAT </w:t>
      </w:r>
    </w:p>
    <w:p w14:paraId="74BD7558"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Amount of ERDF grant paid </w:t>
      </w:r>
    </w:p>
    <w:p w14:paraId="234BA243"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Location of the asset and of the title deeds </w:t>
      </w:r>
    </w:p>
    <w:p w14:paraId="279CB065"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Serial or identification numbers </w:t>
      </w:r>
    </w:p>
    <w:p w14:paraId="4127D42E" w14:textId="77777777" w:rsidR="007228E7" w:rsidRPr="0067796E"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Date of disposal </w:t>
      </w:r>
    </w:p>
    <w:p w14:paraId="3003B91C" w14:textId="77777777" w:rsidR="007228E7" w:rsidRDefault="007228E7" w:rsidP="006D179B">
      <w:pPr>
        <w:pStyle w:val="Header"/>
        <w:widowControl/>
        <w:numPr>
          <w:ilvl w:val="0"/>
          <w:numId w:val="28"/>
        </w:numPr>
        <w:kinsoku/>
        <w:ind w:left="1440"/>
        <w:rPr>
          <w:rFonts w:asciiTheme="minorHAnsi" w:hAnsiTheme="minorHAnsi" w:cs="Arial"/>
        </w:rPr>
      </w:pPr>
      <w:r w:rsidRPr="0067796E">
        <w:rPr>
          <w:rFonts w:asciiTheme="minorHAnsi" w:hAnsiTheme="minorHAnsi" w:cs="Arial"/>
        </w:rPr>
        <w:t xml:space="preserve">Sale of proceeds net of VAT </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201ACAB0"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625AAE1C" w14:textId="6E72ECB5" w:rsidR="007228E7" w:rsidRPr="0067796E" w:rsidRDefault="00D217B1"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List of Acronyms</w:t>
      </w:r>
    </w:p>
    <w:p w14:paraId="7AE7E29F" w14:textId="7ED1D3D7" w:rsidR="007228E7" w:rsidRPr="0067796E" w:rsidRDefault="005C42E3" w:rsidP="006D179B">
      <w:pPr>
        <w:pStyle w:val="Default"/>
        <w:ind w:left="1440"/>
        <w:rPr>
          <w:rFonts w:asciiTheme="minorHAnsi" w:hAnsiTheme="minorHAnsi"/>
          <w:color w:val="000000" w:themeColor="text1"/>
        </w:rPr>
      </w:pPr>
      <w:r w:rsidRPr="0067796E">
        <w:rPr>
          <w:rFonts w:asciiTheme="minorHAnsi" w:hAnsiTheme="minorHAnsi"/>
          <w:color w:val="000000" w:themeColor="text1"/>
        </w:rPr>
        <w:t xml:space="preserve">CLLD </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2B8CB60" w:rsidR="007228E7" w:rsidRPr="0067796E" w:rsidRDefault="007228E7" w:rsidP="006D179B">
      <w:pPr>
        <w:pStyle w:val="Default"/>
        <w:ind w:left="1440"/>
        <w:rPr>
          <w:rFonts w:asciiTheme="minorHAnsi" w:hAnsiTheme="minorHAnsi"/>
          <w:color w:val="000000" w:themeColor="text1"/>
        </w:rPr>
      </w:pPr>
      <w:r w:rsidRPr="0067796E">
        <w:rPr>
          <w:rFonts w:asciiTheme="minorHAnsi" w:hAnsiTheme="minorHAnsi"/>
          <w:color w:val="000000" w:themeColor="text1"/>
        </w:rPr>
        <w:t xml:space="preserve">ESF </w:t>
      </w:r>
      <w:r w:rsidRPr="0067796E">
        <w:rPr>
          <w:rFonts w:asciiTheme="minorHAnsi" w:hAnsiTheme="minorHAnsi"/>
          <w:color w:val="000000" w:themeColor="text1"/>
        </w:rPr>
        <w:tab/>
        <w:t>European Social Fund</w:t>
      </w:r>
    </w:p>
    <w:p w14:paraId="3F058C18" w14:textId="77777777" w:rsidR="007228E7" w:rsidRDefault="007228E7" w:rsidP="006D179B">
      <w:pPr>
        <w:pStyle w:val="Default"/>
        <w:ind w:left="1440"/>
        <w:rPr>
          <w:rFonts w:asciiTheme="minorHAnsi" w:hAnsiTheme="minorHAnsi"/>
          <w:color w:val="000000" w:themeColor="text1"/>
        </w:rPr>
      </w:pPr>
      <w:r w:rsidRPr="0067796E">
        <w:rPr>
          <w:rFonts w:asciiTheme="minorHAnsi" w:hAnsiTheme="minorHAnsi"/>
          <w:color w:val="000000" w:themeColor="text1"/>
        </w:rPr>
        <w:t xml:space="preserve">ERDF </w:t>
      </w:r>
      <w:r w:rsidRPr="0067796E">
        <w:rPr>
          <w:rFonts w:asciiTheme="minorHAnsi" w:hAnsiTheme="minorHAnsi"/>
          <w:color w:val="000000" w:themeColor="text1"/>
        </w:rPr>
        <w:tab/>
        <w:t>European Regional Development Fund</w:t>
      </w:r>
    </w:p>
    <w:p w14:paraId="1EB9C3D0" w14:textId="560E3F3B" w:rsidR="005C42E3" w:rsidRPr="0067796E" w:rsidRDefault="005C42E3" w:rsidP="006D179B">
      <w:pPr>
        <w:pStyle w:val="Default"/>
        <w:ind w:left="144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 xml:space="preserve">Structural Investment Funds – this is a collective term for ESF and ERDF </w:t>
      </w:r>
      <w:r w:rsidR="006D179B">
        <w:rPr>
          <w:rFonts w:asciiTheme="minorHAnsi" w:hAnsiTheme="minorHAnsi"/>
          <w:color w:val="000000" w:themeColor="text1"/>
        </w:rPr>
        <w:tab/>
      </w:r>
      <w:r w:rsidRPr="000754E8">
        <w:rPr>
          <w:rFonts w:asciiTheme="minorHAnsi" w:hAnsiTheme="minorHAnsi"/>
          <w:color w:val="000000" w:themeColor="text1"/>
        </w:rPr>
        <w:t>funding</w:t>
      </w:r>
    </w:p>
    <w:p w14:paraId="0A489B45" w14:textId="410DD1CF" w:rsidR="00A470CB" w:rsidRPr="0067796E" w:rsidRDefault="007228E7" w:rsidP="006D179B">
      <w:pPr>
        <w:pStyle w:val="Default"/>
        <w:ind w:left="2160" w:hanging="720"/>
        <w:rPr>
          <w:rFonts w:asciiTheme="minorHAnsi" w:hAnsiTheme="minorHAnsi"/>
        </w:rPr>
      </w:pPr>
      <w:r w:rsidRPr="0067796E">
        <w:rPr>
          <w:rFonts w:asciiTheme="minorHAnsi" w:hAnsiTheme="minorHAnsi"/>
          <w:color w:val="000000" w:themeColor="text1"/>
        </w:rPr>
        <w:t>SME</w:t>
      </w:r>
      <w:r w:rsidRPr="0067796E">
        <w:rPr>
          <w:rFonts w:asciiTheme="minorHAnsi" w:hAnsiTheme="minorHAnsi"/>
          <w:color w:val="000000" w:themeColor="text1"/>
        </w:rPr>
        <w:tab/>
        <w:t xml:space="preserve">Small Medium Enterprise. A business is defined as an SME if it has &lt; 250 employees </w:t>
      </w:r>
      <w:bookmarkStart w:id="0" w:name="_GoBack"/>
      <w:bookmarkEnd w:id="0"/>
      <w:r w:rsidRPr="0067796E">
        <w:rPr>
          <w:rFonts w:asciiTheme="minorHAnsi" w:hAnsiTheme="minorHAnsi"/>
          <w:color w:val="000000" w:themeColor="text1"/>
        </w:rPr>
        <w:t>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Pr="0067796E">
        <w:rPr>
          <w:rFonts w:asciiTheme="minorHAnsi" w:hAnsiTheme="minorHAnsi"/>
          <w:lang w:val="en"/>
        </w:rPr>
        <w:t xml:space="preserve"> </w:t>
      </w:r>
      <w:hyperlink r:id="rId18" w:history="1">
        <w:r w:rsidRPr="0067796E">
          <w:rPr>
            <w:rStyle w:val="Hyperlink"/>
            <w:rFonts w:asciiTheme="minorHAnsi" w:hAnsiTheme="minorHAnsi"/>
            <w:lang w:val="en"/>
          </w:rPr>
          <w:t>here</w:t>
        </w:r>
      </w:hyperlink>
      <w:r w:rsidRPr="0067796E">
        <w:rPr>
          <w:rFonts w:asciiTheme="minorHAnsi" w:hAnsiTheme="minorHAnsi"/>
          <w:sz w:val="18"/>
          <w:szCs w:val="18"/>
          <w:lang w:val="en"/>
        </w:rPr>
        <w:t xml:space="preserve"> </w:t>
      </w:r>
    </w:p>
    <w:sectPr w:rsidR="00A470CB" w:rsidRPr="0067796E" w:rsidSect="00642B5B">
      <w:headerReference w:type="default" r:id="rId19"/>
      <w:footerReference w:type="default" r:id="rId20"/>
      <w:headerReference w:type="first" r:id="rId21"/>
      <w:footerReference w:type="first" r:id="rId22"/>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6D179B">
          <w:rPr>
            <w:noProof/>
          </w:rPr>
          <w:t>9</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9"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5"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4"/>
  </w:num>
  <w:num w:numId="15">
    <w:abstractNumId w:val="22"/>
  </w:num>
  <w:num w:numId="16">
    <w:abstractNumId w:val="23"/>
  </w:num>
  <w:num w:numId="17">
    <w:abstractNumId w:val="21"/>
  </w:num>
  <w:num w:numId="18">
    <w:abstractNumId w:val="19"/>
  </w:num>
  <w:num w:numId="19">
    <w:abstractNumId w:val="16"/>
  </w:num>
  <w:num w:numId="20">
    <w:abstractNumId w:val="6"/>
  </w:num>
  <w:num w:numId="21">
    <w:abstractNumId w:val="17"/>
  </w:num>
  <w:num w:numId="22">
    <w:abstractNumId w:val="18"/>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26"/>
  </w:num>
  <w:num w:numId="25">
    <w:abstractNumId w:val="28"/>
  </w:num>
  <w:num w:numId="26">
    <w:abstractNumId w:val="13"/>
  </w:num>
  <w:num w:numId="27">
    <w:abstractNumId w:val="24"/>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288D"/>
    <w:rsid w:val="0007636C"/>
    <w:rsid w:val="000A6641"/>
    <w:rsid w:val="000B1D24"/>
    <w:rsid w:val="000C0749"/>
    <w:rsid w:val="000C5A82"/>
    <w:rsid w:val="00104F3A"/>
    <w:rsid w:val="00112A6D"/>
    <w:rsid w:val="001159C8"/>
    <w:rsid w:val="001321A1"/>
    <w:rsid w:val="001B393B"/>
    <w:rsid w:val="001F0FBB"/>
    <w:rsid w:val="001F5734"/>
    <w:rsid w:val="00227D84"/>
    <w:rsid w:val="002650CD"/>
    <w:rsid w:val="0031536C"/>
    <w:rsid w:val="00324BF8"/>
    <w:rsid w:val="00343186"/>
    <w:rsid w:val="00365CF2"/>
    <w:rsid w:val="00396EA7"/>
    <w:rsid w:val="003B504A"/>
    <w:rsid w:val="003C060F"/>
    <w:rsid w:val="004233B7"/>
    <w:rsid w:val="00453116"/>
    <w:rsid w:val="00474EA9"/>
    <w:rsid w:val="0048536F"/>
    <w:rsid w:val="00497949"/>
    <w:rsid w:val="004B14EB"/>
    <w:rsid w:val="004C5FD4"/>
    <w:rsid w:val="00530CDB"/>
    <w:rsid w:val="00582E5A"/>
    <w:rsid w:val="00586337"/>
    <w:rsid w:val="005C42E3"/>
    <w:rsid w:val="005F4B72"/>
    <w:rsid w:val="006124EB"/>
    <w:rsid w:val="00642B5B"/>
    <w:rsid w:val="0067796E"/>
    <w:rsid w:val="006B3BBD"/>
    <w:rsid w:val="006D179B"/>
    <w:rsid w:val="006E3E57"/>
    <w:rsid w:val="006F7712"/>
    <w:rsid w:val="007228E7"/>
    <w:rsid w:val="00770986"/>
    <w:rsid w:val="00774A0B"/>
    <w:rsid w:val="007A45A3"/>
    <w:rsid w:val="007A7F2E"/>
    <w:rsid w:val="008304CE"/>
    <w:rsid w:val="00842A95"/>
    <w:rsid w:val="008D4D26"/>
    <w:rsid w:val="00990303"/>
    <w:rsid w:val="009907FA"/>
    <w:rsid w:val="009931A1"/>
    <w:rsid w:val="00994F53"/>
    <w:rsid w:val="009C4D32"/>
    <w:rsid w:val="009D4A29"/>
    <w:rsid w:val="00A00142"/>
    <w:rsid w:val="00A069C0"/>
    <w:rsid w:val="00A30BA3"/>
    <w:rsid w:val="00A470CB"/>
    <w:rsid w:val="00A94122"/>
    <w:rsid w:val="00AE43E2"/>
    <w:rsid w:val="00AF0B75"/>
    <w:rsid w:val="00AF111D"/>
    <w:rsid w:val="00AF79AA"/>
    <w:rsid w:val="00B04740"/>
    <w:rsid w:val="00B071E8"/>
    <w:rsid w:val="00B164A4"/>
    <w:rsid w:val="00B551F9"/>
    <w:rsid w:val="00B56C8D"/>
    <w:rsid w:val="00B61B0B"/>
    <w:rsid w:val="00B746C1"/>
    <w:rsid w:val="00B869F9"/>
    <w:rsid w:val="00B9577B"/>
    <w:rsid w:val="00BD0734"/>
    <w:rsid w:val="00BD540C"/>
    <w:rsid w:val="00BF1300"/>
    <w:rsid w:val="00C0649D"/>
    <w:rsid w:val="00C83E34"/>
    <w:rsid w:val="00C97725"/>
    <w:rsid w:val="00CA7606"/>
    <w:rsid w:val="00CB3F92"/>
    <w:rsid w:val="00CD3724"/>
    <w:rsid w:val="00D217B1"/>
    <w:rsid w:val="00D44CA0"/>
    <w:rsid w:val="00D759BC"/>
    <w:rsid w:val="00D9035A"/>
    <w:rsid w:val="00DD7BBC"/>
    <w:rsid w:val="00DF6E2B"/>
    <w:rsid w:val="00E02725"/>
    <w:rsid w:val="00E162B1"/>
    <w:rsid w:val="00E2427C"/>
    <w:rsid w:val="00E929FC"/>
    <w:rsid w:val="00E93D5E"/>
    <w:rsid w:val="00EA5510"/>
    <w:rsid w:val="00ED0E2F"/>
    <w:rsid w:val="00ED546F"/>
    <w:rsid w:val="00F04047"/>
    <w:rsid w:val="00F14870"/>
    <w:rsid w:val="00F61CFF"/>
    <w:rsid w:val="00FB7142"/>
    <w:rsid w:val="00FB71B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 TargetMode="External"/><Relationship Id="rId13" Type="http://schemas.openxmlformats.org/officeDocument/2006/relationships/hyperlink" Target="http://www.folkestonecommunity.works" TargetMode="External"/><Relationship Id="rId18" Type="http://schemas.openxmlformats.org/officeDocument/2006/relationships/hyperlink" Target="https://ec.europa.eu/growth/smes/business-friendly-environment/sme-definition_e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 TargetMode="External"/><Relationship Id="rId2" Type="http://schemas.openxmlformats.org/officeDocument/2006/relationships/numbering" Target="numbering.xml"/><Relationship Id="rId16" Type="http://schemas.openxmlformats.org/officeDocument/2006/relationships/hyperlink" Target="http://www.folkestonecommunity.works"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ntTable" Target="fontTable.xml"/><Relationship Id="rId10" Type="http://schemas.openxmlformats.org/officeDocument/2006/relationships/hyperlink" Target="https://ec.europa.eu/growth/smes/business-friendly-environment/sme-definition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olkestonecommunityworks@folkestone-hythe.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6B0-0C1F-4507-8A6B-8B5ED9F6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2787</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14</cp:revision>
  <dcterms:created xsi:type="dcterms:W3CDTF">2018-07-25T10:15:00Z</dcterms:created>
  <dcterms:modified xsi:type="dcterms:W3CDTF">2018-09-20T10:10:00Z</dcterms:modified>
</cp:coreProperties>
</file>